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50501">
      <w:pPr>
        <w:pStyle w:val="49"/>
        <w:rPr>
          <w:rFonts w:hint="eastAsia" w:ascii="黑体" w:hAnsi="黑体" w:eastAsia="黑体" w:cs="黑体"/>
          <w:bCs/>
          <w:color w:val="auto"/>
          <w:kern w:val="0"/>
          <w:szCs w:val="28"/>
        </w:rPr>
      </w:pPr>
      <w:bookmarkStart w:id="0" w:name="_Toc468283463"/>
      <w:r>
        <w:rPr>
          <w:rFonts w:hint="eastAsia" w:ascii="黑体" w:hAnsi="黑体" w:eastAsia="黑体" w:cs="黑体"/>
          <w:bCs/>
          <w:color w:val="auto"/>
          <w:kern w:val="0"/>
          <w:sz w:val="28"/>
          <w:szCs w:val="28"/>
        </w:rPr>
        <w:t>T/</w:t>
      </w:r>
      <w:r>
        <w:rPr>
          <w:rFonts w:hint="eastAsia" w:ascii="黑体" w:hAnsi="黑体" w:eastAsia="黑体" w:cs="黑体"/>
          <w:bCs/>
          <w:color w:val="auto"/>
          <w:kern w:val="0"/>
          <w:sz w:val="28"/>
          <w:szCs w:val="28"/>
        </w:rPr>
        <w:fldChar w:fldCharType="begin">
          <w:ffData>
            <w:name w:val="文字1"/>
            <w:enabled/>
            <w:calcOnExit w:val="0"/>
            <w:textInput>
              <w:default w:val="GDSES"/>
            </w:textInput>
          </w:ffData>
        </w:fldChar>
      </w:r>
      <w:bookmarkStart w:id="1" w:name="文字1"/>
      <w:r>
        <w:rPr>
          <w:rFonts w:hint="eastAsia" w:ascii="黑体" w:hAnsi="黑体" w:eastAsia="黑体" w:cs="黑体"/>
          <w:bCs/>
          <w:color w:val="auto"/>
          <w:kern w:val="0"/>
          <w:sz w:val="28"/>
          <w:szCs w:val="28"/>
        </w:rPr>
        <w:instrText xml:space="preserve"> FORMTEXT </w:instrText>
      </w:r>
      <w:r>
        <w:rPr>
          <w:rFonts w:hint="eastAsia" w:ascii="黑体" w:hAnsi="黑体" w:eastAsia="黑体" w:cs="黑体"/>
          <w:bCs/>
          <w:color w:val="auto"/>
          <w:kern w:val="0"/>
          <w:sz w:val="28"/>
          <w:szCs w:val="28"/>
        </w:rPr>
        <w:fldChar w:fldCharType="separate"/>
      </w:r>
      <w:r>
        <w:rPr>
          <w:rFonts w:hint="eastAsia" w:ascii="黑体" w:hAnsi="黑体" w:eastAsia="黑体" w:cs="黑体"/>
          <w:bCs/>
          <w:color w:val="auto"/>
          <w:kern w:val="0"/>
          <w:sz w:val="28"/>
          <w:szCs w:val="28"/>
        </w:rPr>
        <w:t>GDSES</w:t>
      </w:r>
      <w:r>
        <w:rPr>
          <w:rFonts w:hint="eastAsia" w:ascii="黑体" w:hAnsi="黑体" w:eastAsia="黑体" w:cs="黑体"/>
          <w:bCs/>
          <w:color w:val="auto"/>
          <w:kern w:val="0"/>
          <w:sz w:val="28"/>
          <w:szCs w:val="28"/>
        </w:rPr>
        <w:fldChar w:fldCharType="end"/>
      </w:r>
      <w:bookmarkEnd w:id="1"/>
      <w:r>
        <w:rPr>
          <w:rFonts w:hint="eastAsia" w:ascii="黑体" w:hAnsi="黑体" w:eastAsia="黑体" w:cs="黑体"/>
          <w:bCs/>
          <w:color w:val="auto"/>
          <w:kern w:val="0"/>
          <w:sz w:val="28"/>
          <w:szCs w:val="28"/>
        </w:rPr>
        <w:t xml:space="preserve"> </w:t>
      </w:r>
      <w:r>
        <w:rPr>
          <w:rFonts w:ascii="黑体" w:hAnsi="黑体" w:eastAsia="黑体"/>
          <w:sz w:val="21"/>
          <w:szCs w:val="21"/>
        </w:rPr>
        <w:fldChar w:fldCharType="begin">
          <w:ffData>
            <w:name w:val="ICS"/>
            <w:enabled/>
            <w:calcOnExit w:val="0"/>
            <w:textInput>
              <w:default w:val="XXXXX"/>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XXXXX</w:t>
      </w:r>
      <w:r>
        <w:rPr>
          <w:rFonts w:ascii="黑体" w:hAnsi="黑体" w:eastAsia="黑体"/>
          <w:sz w:val="21"/>
          <w:szCs w:val="21"/>
        </w:rPr>
        <w:fldChar w:fldCharType="end"/>
      </w:r>
    </w:p>
    <w:p w14:paraId="780B2977">
      <w:pPr>
        <w:framePr w:w="9356" w:h="624" w:hRule="exact" w:hSpace="181" w:vSpace="181" w:wrap="around" w:vAnchor="page" w:hAnchor="page" w:x="1419" w:y="3284"/>
        <w:widowControl/>
        <w:wordWrap w:val="0"/>
        <w:autoSpaceDE w:val="0"/>
        <w:autoSpaceDN w:val="0"/>
        <w:adjustRightInd w:val="0"/>
        <w:snapToGrid w:val="0"/>
        <w:spacing w:before="57" w:line="280" w:lineRule="exact"/>
        <w:ind w:firstLine="0" w:firstLineChars="0"/>
        <w:jc w:val="right"/>
        <w:rPr>
          <w:rFonts w:ascii="Times New Roman" w:hAnsi="Times New Roman" w:eastAsia="黑体"/>
          <w:bCs/>
          <w:color w:val="auto"/>
          <w:kern w:val="0"/>
          <w:sz w:val="21"/>
          <w:szCs w:val="28"/>
        </w:rPr>
      </w:pPr>
    </w:p>
    <w:p w14:paraId="128FC55E">
      <w:pPr>
        <w:framePr w:w="7293" w:h="1006" w:hRule="exact" w:hSpace="181" w:vSpace="181" w:wrap="around" w:vAnchor="page" w:hAnchor="page" w:x="2460" w:y="1876" w:anchorLock="1"/>
        <w:kinsoku w:val="0"/>
        <w:overflowPunct w:val="0"/>
        <w:autoSpaceDE w:val="0"/>
        <w:autoSpaceDN w:val="0"/>
        <w:adjustRightInd w:val="0"/>
        <w:snapToGrid w:val="0"/>
        <w:spacing w:line="0" w:lineRule="atLeast"/>
        <w:ind w:firstLine="0" w:firstLineChars="0"/>
        <w:jc w:val="distribute"/>
        <w:rPr>
          <w:rFonts w:ascii="Times New Roman" w:hAnsi="Times New Roman" w:eastAsia="黑体"/>
          <w:color w:val="auto"/>
          <w:kern w:val="0"/>
          <w:sz w:val="84"/>
          <w:szCs w:val="84"/>
        </w:rPr>
      </w:pPr>
      <w:bookmarkStart w:id="2" w:name="_Hlk26473981"/>
      <w:r>
        <w:rPr>
          <w:rFonts w:hint="eastAsia" w:ascii="Times New Roman" w:hAnsi="Times New Roman" w:eastAsia="黑体"/>
          <w:bCs/>
          <w:color w:val="auto"/>
          <w:kern w:val="0"/>
          <w:sz w:val="84"/>
          <w:szCs w:val="84"/>
        </w:rPr>
        <w:t>团体</w:t>
      </w:r>
      <w:r>
        <w:rPr>
          <w:rFonts w:hint="eastAsia" w:ascii="Times New Roman" w:hAnsi="Times New Roman" w:eastAsia="黑体"/>
          <w:color w:val="auto"/>
          <w:kern w:val="0"/>
          <w:sz w:val="84"/>
          <w:szCs w:val="84"/>
        </w:rPr>
        <w:t>标准</w:t>
      </w:r>
    </w:p>
    <w:bookmarkEnd w:id="2"/>
    <w:p w14:paraId="6DE4FC52">
      <w:pPr>
        <w:framePr w:w="9639" w:h="6976" w:hRule="exact" w:wrap="around" w:vAnchor="page" w:hAnchor="page" w:xAlign="center" w:y="6408" w:anchorLock="1"/>
        <w:kinsoku w:val="0"/>
        <w:overflowPunct w:val="0"/>
        <w:autoSpaceDE w:val="0"/>
        <w:autoSpaceDN w:val="0"/>
        <w:adjustRightInd w:val="0"/>
        <w:snapToGrid w:val="0"/>
        <w:spacing w:line="0" w:lineRule="atLeast"/>
        <w:ind w:firstLine="0" w:firstLineChars="0"/>
        <w:jc w:val="center"/>
        <w:rPr>
          <w:rFonts w:ascii="Times New Roman" w:hAnsi="Times New Roman" w:eastAsia="黑体"/>
          <w:color w:val="auto"/>
          <w:kern w:val="0"/>
          <w:sz w:val="52"/>
          <w:szCs w:val="20"/>
        </w:rPr>
      </w:pPr>
    </w:p>
    <w:p w14:paraId="768E5A4E">
      <w:pPr>
        <w:framePr w:w="9639" w:h="6974" w:hRule="exact" w:wrap="around" w:vAnchor="page" w:hAnchor="page" w:x="1419" w:y="6408" w:anchorLock="1"/>
        <w:widowControl/>
        <w:adjustRightInd w:val="0"/>
        <w:snapToGrid w:val="0"/>
        <w:spacing w:line="700" w:lineRule="exact"/>
        <w:ind w:firstLine="0" w:firstLineChars="0"/>
        <w:jc w:val="center"/>
        <w:rPr>
          <w:rFonts w:hint="eastAsia" w:ascii="黑体" w:hAnsi="黑体" w:eastAsia="黑体"/>
          <w:bCs/>
          <w:color w:val="auto"/>
          <w:kern w:val="0"/>
          <w:sz w:val="52"/>
          <w:szCs w:val="52"/>
        </w:rPr>
      </w:pPr>
      <w:r>
        <w:rPr>
          <w:rFonts w:hint="eastAsia" w:ascii="黑体" w:hAnsi="黑体" w:eastAsia="黑体"/>
          <w:bCs/>
          <w:color w:val="auto"/>
          <w:kern w:val="0"/>
          <w:sz w:val="52"/>
          <w:szCs w:val="52"/>
        </w:rPr>
        <w:t>生态环境状况公报编制技术规范</w:t>
      </w:r>
    </w:p>
    <w:p w14:paraId="1AC43708">
      <w:pPr>
        <w:framePr w:w="9639" w:h="6974" w:hRule="exact" w:wrap="around" w:vAnchor="page" w:hAnchor="page" w:x="1419" w:y="6408" w:anchorLock="1"/>
        <w:adjustRightInd w:val="0"/>
        <w:snapToGrid w:val="0"/>
        <w:spacing w:line="400" w:lineRule="exact"/>
        <w:ind w:left="-1418" w:firstLine="0" w:firstLineChars="0"/>
        <w:rPr>
          <w:rFonts w:hint="eastAsia" w:ascii="黑体" w:hAnsi="黑体" w:eastAsia="黑体" w:cs="黑体"/>
          <w:color w:val="auto"/>
          <w:sz w:val="28"/>
          <w:szCs w:val="28"/>
        </w:rPr>
      </w:pPr>
    </w:p>
    <w:p w14:paraId="3015EA03">
      <w:pPr>
        <w:framePr w:w="9639" w:h="6974" w:hRule="exact" w:wrap="around" w:vAnchor="page" w:hAnchor="page" w:x="1419" w:y="6408" w:anchorLock="1"/>
        <w:adjustRightInd w:val="0"/>
        <w:snapToGrid w:val="0"/>
        <w:spacing w:line="360" w:lineRule="exact"/>
        <w:ind w:firstLine="0" w:firstLineChars="0"/>
        <w:jc w:val="center"/>
        <w:textAlignment w:val="bottom"/>
        <w:rPr>
          <w:rFonts w:hint="eastAsia" w:ascii="黑体" w:hAnsi="黑体" w:eastAsia="黑体" w:cs="黑体"/>
          <w:color w:val="auto"/>
          <w:kern w:val="0"/>
          <w:sz w:val="28"/>
          <w:szCs w:val="28"/>
        </w:rPr>
      </w:pPr>
      <w:r>
        <w:rPr>
          <w:rFonts w:hint="eastAsia" w:ascii="黑体" w:hAnsi="黑体" w:eastAsia="黑体" w:cs="黑体"/>
          <w:color w:val="auto"/>
          <w:kern w:val="0"/>
          <w:sz w:val="28"/>
          <w:szCs w:val="28"/>
        </w:rPr>
        <w:t xml:space="preserve">Technical </w:t>
      </w:r>
      <w:r>
        <w:rPr>
          <w:rFonts w:hint="eastAsia" w:ascii="黑体" w:hAnsi="黑体" w:eastAsia="黑体" w:cs="黑体"/>
          <w:color w:val="auto"/>
          <w:kern w:val="0"/>
          <w:sz w:val="28"/>
          <w:szCs w:val="28"/>
          <w:lang w:val="en-US"/>
        </w:rPr>
        <w:t>s</w:t>
      </w:r>
      <w:r>
        <w:rPr>
          <w:rFonts w:hint="eastAsia" w:ascii="黑体" w:hAnsi="黑体" w:eastAsia="黑体" w:cs="黑体"/>
          <w:color w:val="auto"/>
          <w:kern w:val="0"/>
          <w:sz w:val="28"/>
          <w:szCs w:val="28"/>
        </w:rPr>
        <w:t>pecification for</w:t>
      </w:r>
      <w:r>
        <w:rPr>
          <w:rFonts w:hint="eastAsia" w:ascii="黑体" w:hAnsi="黑体" w:eastAsia="黑体" w:cs="黑体"/>
          <w:color w:val="auto"/>
          <w:kern w:val="0"/>
          <w:sz w:val="28"/>
          <w:szCs w:val="28"/>
          <w:lang w:val="en-US" w:eastAsia="zh-CN"/>
        </w:rPr>
        <w:t xml:space="preserve"> the preparation of report on the state of the e</w:t>
      </w:r>
      <w:r>
        <w:rPr>
          <w:rFonts w:hint="eastAsia" w:ascii="黑体" w:hAnsi="黑体" w:eastAsia="黑体" w:cs="黑体"/>
          <w:color w:val="auto"/>
          <w:kern w:val="0"/>
          <w:sz w:val="28"/>
          <w:szCs w:val="28"/>
        </w:rPr>
        <w:t>colog</w:t>
      </w:r>
      <w:r>
        <w:rPr>
          <w:rFonts w:hint="eastAsia" w:ascii="黑体" w:hAnsi="黑体" w:eastAsia="黑体" w:cs="黑体"/>
          <w:color w:val="auto"/>
          <w:kern w:val="0"/>
          <w:sz w:val="28"/>
          <w:szCs w:val="28"/>
          <w:lang w:val="en-US"/>
        </w:rPr>
        <w:t>y</w:t>
      </w:r>
      <w:r>
        <w:rPr>
          <w:rFonts w:hint="eastAsia" w:ascii="黑体" w:hAnsi="黑体" w:eastAsia="黑体" w:cs="黑体"/>
          <w:color w:val="auto"/>
          <w:kern w:val="0"/>
          <w:sz w:val="28"/>
          <w:szCs w:val="28"/>
        </w:rPr>
        <w:t xml:space="preserve"> and </w:t>
      </w:r>
      <w:r>
        <w:rPr>
          <w:rFonts w:hint="eastAsia" w:ascii="黑体" w:hAnsi="黑体" w:eastAsia="黑体" w:cs="黑体"/>
          <w:color w:val="auto"/>
          <w:kern w:val="0"/>
          <w:sz w:val="28"/>
          <w:szCs w:val="28"/>
          <w:lang w:val="en-US"/>
        </w:rPr>
        <w:t>e</w:t>
      </w:r>
      <w:r>
        <w:rPr>
          <w:rFonts w:hint="eastAsia" w:ascii="黑体" w:hAnsi="黑体" w:eastAsia="黑体" w:cs="黑体"/>
          <w:color w:val="auto"/>
          <w:kern w:val="0"/>
          <w:sz w:val="28"/>
          <w:szCs w:val="28"/>
        </w:rPr>
        <w:t xml:space="preserve">nvironment </w:t>
      </w:r>
    </w:p>
    <w:p w14:paraId="0ED16262">
      <w:pPr>
        <w:pStyle w:val="5"/>
        <w:framePr w:w="9639" w:h="6974" w:hRule="exact" w:wrap="around" w:vAnchor="page" w:hAnchor="page" w:x="1419" w:y="6408" w:anchorLock="1"/>
        <w:rPr>
          <w:rFonts w:hint="eastAsia" w:ascii="Times New Roman" w:hAnsi="Times New Roman" w:eastAsia="黑体" w:cs="Times New Roman"/>
          <w:color w:val="auto"/>
          <w:kern w:val="0"/>
          <w:sz w:val="36"/>
          <w:szCs w:val="36"/>
        </w:rPr>
      </w:pPr>
    </w:p>
    <w:p w14:paraId="79D44540">
      <w:pPr>
        <w:framePr w:w="9639" w:h="6974" w:hRule="exact" w:wrap="around" w:vAnchor="page" w:hAnchor="page" w:x="1419" w:y="6408" w:anchorLock="1"/>
        <w:ind w:firstLine="0" w:firstLineChars="0"/>
        <w:jc w:val="center"/>
        <w:rPr>
          <w:rFonts w:hint="eastAsia" w:eastAsia="黑体"/>
          <w:lang w:eastAsia="zh-CN"/>
        </w:rPr>
      </w:pPr>
      <w:r>
        <w:rPr>
          <w:rFonts w:hint="eastAsia" w:ascii="Times New Roman" w:hAnsi="Times New Roman" w:eastAsia="黑体" w:cs="Times New Roman"/>
          <w:color w:val="auto"/>
          <w:kern w:val="0"/>
          <w:sz w:val="36"/>
          <w:szCs w:val="36"/>
          <w:lang w:eastAsia="zh-CN"/>
        </w:rPr>
        <w:t>（</w:t>
      </w:r>
      <w:r>
        <w:rPr>
          <w:rFonts w:hint="eastAsia" w:ascii="Times New Roman" w:hAnsi="Times New Roman" w:eastAsia="黑体" w:cs="Times New Roman"/>
          <w:color w:val="auto"/>
          <w:kern w:val="0"/>
          <w:sz w:val="36"/>
          <w:szCs w:val="36"/>
          <w:lang w:val="en-US" w:eastAsia="zh-CN"/>
        </w:rPr>
        <w:t>征求意见</w:t>
      </w:r>
      <w:r>
        <w:rPr>
          <w:rFonts w:hint="eastAsia" w:ascii="Times New Roman" w:hAnsi="Times New Roman" w:eastAsia="黑体" w:cs="Times New Roman"/>
          <w:color w:val="auto"/>
          <w:kern w:val="0"/>
          <w:sz w:val="36"/>
          <w:szCs w:val="36"/>
          <w:lang w:eastAsia="zh-CN"/>
        </w:rPr>
        <w:t>稿）</w:t>
      </w:r>
    </w:p>
    <w:p w14:paraId="3D7544BA">
      <w:pPr>
        <w:framePr w:w="9639" w:h="6974" w:hRule="exact" w:wrap="around" w:vAnchor="page" w:hAnchor="page" w:x="1419" w:y="6408" w:anchorLock="1"/>
        <w:adjustRightInd w:val="0"/>
        <w:snapToGrid w:val="0"/>
        <w:spacing w:before="440" w:after="160" w:line="360" w:lineRule="exact"/>
        <w:ind w:firstLine="0" w:firstLineChars="0"/>
        <w:jc w:val="center"/>
        <w:textAlignment w:val="bottom"/>
        <w:rPr>
          <w:rFonts w:ascii="黑体" w:hAnsi="黑体" w:eastAsia="黑体"/>
          <w:color w:val="auto"/>
          <w:kern w:val="0"/>
          <w:szCs w:val="28"/>
        </w:rPr>
      </w:pPr>
    </w:p>
    <w:p w14:paraId="5B171018">
      <w:pPr>
        <w:framePr w:w="9639" w:h="6974" w:hRule="exact" w:wrap="around" w:vAnchor="page" w:hAnchor="page" w:x="1419" w:y="6408" w:anchorLock="1"/>
        <w:adjustRightInd w:val="0"/>
        <w:snapToGrid w:val="0"/>
        <w:spacing w:before="180" w:line="240" w:lineRule="atLeast"/>
        <w:ind w:firstLine="0" w:firstLineChars="0"/>
        <w:jc w:val="center"/>
        <w:textAlignment w:val="bottom"/>
        <w:rPr>
          <w:rFonts w:ascii="Times New Roman" w:hAnsi="Times New Roman" w:eastAsia="宋体"/>
          <w:color w:val="auto"/>
          <w:kern w:val="0"/>
          <w:sz w:val="21"/>
          <w:szCs w:val="28"/>
        </w:rPr>
      </w:pPr>
    </w:p>
    <w:p w14:paraId="44F44718">
      <w:pPr>
        <w:framePr w:w="3997" w:h="471" w:hRule="exact" w:vSpace="181" w:wrap="around" w:vAnchor="page" w:hAnchor="page" w:x="1418" w:y="14117" w:anchorLock="1"/>
        <w:widowControl/>
        <w:adjustRightInd w:val="0"/>
        <w:snapToGrid w:val="0"/>
        <w:spacing w:line="400" w:lineRule="exact"/>
        <w:ind w:firstLine="0" w:firstLineChars="0"/>
        <w:jc w:val="left"/>
        <w:rPr>
          <w:rFonts w:hint="eastAsia" w:ascii="黑体" w:hAnsi="黑体" w:eastAsia="黑体" w:cs="黑体"/>
          <w:color w:val="auto"/>
          <w:kern w:val="0"/>
          <w:szCs w:val="28"/>
        </w:rPr>
      </w:pPr>
      <w:r>
        <w:rPr>
          <w:rFonts w:hint="eastAsia" w:ascii="黑体" w:hAnsi="黑体" w:eastAsia="黑体" w:cs="黑体"/>
          <w:color w:val="auto"/>
          <w:kern w:val="0"/>
          <w:sz w:val="28"/>
          <w:szCs w:val="28"/>
        </w:rPr>
        <mc:AlternateContent>
          <mc:Choice Requires="wps">
            <w:drawing>
              <wp:anchor distT="0" distB="0" distL="114300" distR="114300" simplePos="0" relativeHeight="251659264" behindDoc="1" locked="0" layoutInCell="1" allowOverlap="0">
                <wp:simplePos x="0" y="0"/>
                <wp:positionH relativeFrom="page">
                  <wp:posOffset>0</wp:posOffset>
                </wp:positionH>
                <wp:positionV relativeFrom="bottomMargin">
                  <wp:posOffset>-9687560</wp:posOffset>
                </wp:positionV>
                <wp:extent cx="6120130" cy="0"/>
                <wp:effectExtent l="0" t="0" r="0" b="0"/>
                <wp:wrapThrough wrapText="bothSides">
                  <wp:wrapPolygon>
                    <wp:start x="0" y="0"/>
                    <wp:lineTo x="0" y="21600"/>
                    <wp:lineTo x="21600" y="21600"/>
                    <wp:lineTo x="21600" y="0"/>
                    <wp:lineTo x="0" y="0"/>
                  </wp:wrapPolygon>
                </wp:wrapThrough>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22.4pt;height:0pt;width:481.9pt;mso-position-horizontal-relative:page;mso-position-vertical-relative:page;mso-wrap-distance-left:9pt;mso-wrap-distance-right:9pt;z-index:-251657216;mso-width-relative:page;mso-height-relative:page;" filled="f" stroked="t" coordsize="21600,21600" wrapcoords="0 0 0 21600 21600 21600 21600 0 0 0" o:allowoverlap="f" o:gfxdata="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GSvfLWAAAADAEA&#10;AA8AAAAAAAAAAQAgAAAAIgAAAGRycy9kb3ducmV2LnhtbFBLAQIUABQAAAAIAIdO4kCZX1Sg4wEA&#10;AKoDAAAOAAAAAAAAAAEAIAAAACUBAABkcnMvZTJvRG9jLnhtbFBLBQYAAAAABgAGAFkBAAB6BQAA&#10;AAA=&#10;">
                <v:fill on="f" focussize="0,0"/>
                <v:stroke color="#000000" joinstyle="round"/>
                <v:imagedata o:title=""/>
                <o:lock v:ext="edit" aspectratio="f"/>
                <w10:wrap type="through"/>
              </v:line>
            </w:pict>
          </mc:Fallback>
        </mc:AlternateContent>
      </w:r>
      <w:r>
        <w:rPr>
          <w:rFonts w:hint="eastAsia" w:ascii="黑体" w:hAnsi="黑体" w:eastAsia="黑体" w:cs="黑体"/>
          <w:color w:val="auto"/>
          <w:kern w:val="0"/>
          <w:sz w:val="28"/>
          <w:szCs w:val="28"/>
        </w:rPr>
        <w:t>20</w:t>
      </w:r>
      <w:r>
        <w:rPr>
          <w:rFonts w:ascii="黑体" w:hAnsi="黑体"/>
        </w:rPr>
        <w:fldChar w:fldCharType="begin">
          <w:ffData>
            <w:name w:val="PLSH_DATE_D"/>
            <w:enabled/>
            <w:calcOnExit w:val="0"/>
            <w:textInput>
              <w:default w:val="XX"/>
              <w:maxLength w:val="2"/>
            </w:textInput>
          </w:ffData>
        </w:fldChar>
      </w:r>
      <w:r>
        <w:rPr>
          <w:rFonts w:ascii="黑体" w:hAnsi="黑体"/>
        </w:rPr>
        <w:instrText xml:space="preserve"> FORMTEXT </w:instrText>
      </w:r>
      <w:r>
        <w:rPr>
          <w:rFonts w:ascii="黑体" w:hAnsi="黑体"/>
        </w:rPr>
        <w:fldChar w:fldCharType="separate"/>
      </w:r>
      <w:r>
        <w:rPr>
          <w:rFonts w:ascii="黑体" w:hAnsi="黑体"/>
        </w:rPr>
        <w:t>XX</w:t>
      </w:r>
      <w:r>
        <w:rPr>
          <w:rFonts w:ascii="黑体" w:hAnsi="黑体"/>
        </w:rPr>
        <w:fldChar w:fldCharType="end"/>
      </w:r>
      <w:r>
        <w:rPr>
          <w:rFonts w:hint="eastAsia" w:ascii="黑体" w:hAnsi="黑体" w:eastAsia="黑体" w:cs="黑体"/>
          <w:color w:val="auto"/>
          <w:kern w:val="0"/>
          <w:sz w:val="28"/>
          <w:szCs w:val="28"/>
        </w:rPr>
        <w:t>-</w:t>
      </w:r>
      <w:r>
        <w:rPr>
          <w:rFonts w:ascii="黑体" w:hAnsi="黑体"/>
        </w:rPr>
        <w:fldChar w:fldCharType="begin">
          <w:ffData>
            <w:name w:val="PLSH_DATE_D"/>
            <w:enabled/>
            <w:calcOnExit w:val="0"/>
            <w:textInput>
              <w:default w:val="XX"/>
              <w:maxLength w:val="2"/>
            </w:textInput>
          </w:ffData>
        </w:fldChar>
      </w:r>
      <w:bookmarkStart w:id="3" w:name="PLSH_DATE_D"/>
      <w:r>
        <w:rPr>
          <w:rFonts w:ascii="黑体" w:hAnsi="黑体"/>
        </w:rPr>
        <w:instrText xml:space="preserve"> FORMTEXT </w:instrText>
      </w:r>
      <w:r>
        <w:rPr>
          <w:rFonts w:ascii="黑体" w:hAnsi="黑体"/>
        </w:rPr>
        <w:fldChar w:fldCharType="separate"/>
      </w:r>
      <w:r>
        <w:rPr>
          <w:rFonts w:ascii="黑体" w:hAnsi="黑体"/>
        </w:rPr>
        <w:t>XX</w:t>
      </w:r>
      <w:r>
        <w:rPr>
          <w:rFonts w:ascii="黑体" w:hAnsi="黑体"/>
        </w:rPr>
        <w:fldChar w:fldCharType="end"/>
      </w:r>
      <w:bookmarkEnd w:id="3"/>
      <w:r>
        <w:rPr>
          <w:rFonts w:hint="eastAsia" w:ascii="黑体" w:hAnsi="黑体" w:eastAsia="黑体" w:cs="黑体"/>
          <w:color w:val="auto"/>
          <w:kern w:val="0"/>
          <w:sz w:val="28"/>
          <w:szCs w:val="28"/>
        </w:rPr>
        <w:t>-</w:t>
      </w:r>
      <w:r>
        <w:rPr>
          <w:rFonts w:ascii="黑体" w:hAnsi="黑体"/>
        </w:rPr>
        <w:fldChar w:fldCharType="begin">
          <w:ffData>
            <w:name w:val="PLSH_DATE_D"/>
            <w:enabled/>
            <w:calcOnExit w:val="0"/>
            <w:textInput>
              <w:default w:val="XX"/>
              <w:maxLength w:val="2"/>
            </w:textInput>
          </w:ffData>
        </w:fldChar>
      </w:r>
      <w:r>
        <w:rPr>
          <w:rFonts w:ascii="黑体" w:hAnsi="黑体"/>
        </w:rPr>
        <w:instrText xml:space="preserve"> FORMTEXT </w:instrText>
      </w:r>
      <w:r>
        <w:rPr>
          <w:rFonts w:ascii="黑体" w:hAnsi="黑体"/>
        </w:rPr>
        <w:fldChar w:fldCharType="separate"/>
      </w:r>
      <w:r>
        <w:rPr>
          <w:rFonts w:ascii="黑体" w:hAnsi="黑体"/>
        </w:rPr>
        <w:t>XX</w:t>
      </w:r>
      <w:r>
        <w:rPr>
          <w:rFonts w:ascii="黑体" w:hAnsi="黑体"/>
        </w:rPr>
        <w:fldChar w:fldCharType="end"/>
      </w:r>
      <w:r>
        <w:rPr>
          <w:rFonts w:hint="eastAsia" w:ascii="黑体" w:hAnsi="黑体" w:eastAsia="黑体" w:cs="黑体"/>
          <w:color w:val="auto"/>
          <w:kern w:val="0"/>
          <w:szCs w:val="28"/>
        </w:rPr>
        <w:t xml:space="preserve"> </w:t>
      </w:r>
      <w:r>
        <w:rPr>
          <w:rFonts w:hint="eastAsia" w:ascii="黑体" w:hAnsi="黑体" w:eastAsia="黑体" w:cs="黑体"/>
          <w:color w:val="auto"/>
          <w:kern w:val="0"/>
          <w:sz w:val="28"/>
          <w:szCs w:val="28"/>
        </w:rPr>
        <w:t>发布</w:t>
      </w:r>
    </w:p>
    <w:p w14:paraId="66EBE51A">
      <w:pPr>
        <w:framePr w:w="3997" w:h="471" w:hRule="exact" w:vSpace="181" w:wrap="around" w:vAnchor="page" w:hAnchor="page" w:x="7144" w:y="14117" w:anchorLock="1"/>
        <w:widowControl/>
        <w:adjustRightInd w:val="0"/>
        <w:snapToGrid w:val="0"/>
        <w:spacing w:line="400" w:lineRule="exact"/>
        <w:ind w:firstLine="0" w:firstLineChars="0"/>
        <w:jc w:val="right"/>
        <w:rPr>
          <w:rFonts w:hint="eastAsia" w:ascii="黑体" w:hAnsi="黑体" w:eastAsia="黑体" w:cs="黑体"/>
          <w:color w:val="auto"/>
          <w:kern w:val="0"/>
          <w:szCs w:val="28"/>
        </w:rPr>
      </w:pPr>
      <w:r>
        <w:rPr>
          <w:rFonts w:hint="eastAsia" w:ascii="黑体" w:hAnsi="黑体" w:eastAsia="黑体" w:cs="黑体"/>
          <w:color w:val="auto"/>
          <w:kern w:val="0"/>
          <w:sz w:val="28"/>
          <w:szCs w:val="28"/>
        </w:rPr>
        <w:t>20</w:t>
      </w:r>
      <w:r>
        <w:rPr>
          <w:rFonts w:ascii="黑体" w:hAnsi="黑体"/>
        </w:rPr>
        <w:fldChar w:fldCharType="begin">
          <w:ffData>
            <w:name w:val="PLSH_DATE_D"/>
            <w:enabled/>
            <w:calcOnExit w:val="0"/>
            <w:textInput>
              <w:default w:val="XX"/>
              <w:maxLength w:val="2"/>
            </w:textInput>
          </w:ffData>
        </w:fldChar>
      </w:r>
      <w:r>
        <w:rPr>
          <w:rFonts w:ascii="黑体" w:hAnsi="黑体"/>
        </w:rPr>
        <w:instrText xml:space="preserve"> FORMTEXT </w:instrText>
      </w:r>
      <w:r>
        <w:rPr>
          <w:rFonts w:ascii="黑体" w:hAnsi="黑体"/>
        </w:rPr>
        <w:fldChar w:fldCharType="separate"/>
      </w:r>
      <w:r>
        <w:rPr>
          <w:rFonts w:ascii="黑体" w:hAnsi="黑体"/>
        </w:rPr>
        <w:t>XX</w:t>
      </w:r>
      <w:r>
        <w:rPr>
          <w:rFonts w:ascii="黑体" w:hAnsi="黑体"/>
        </w:rPr>
        <w:fldChar w:fldCharType="end"/>
      </w:r>
      <w:r>
        <w:rPr>
          <w:rFonts w:hint="eastAsia" w:ascii="黑体" w:hAnsi="黑体" w:eastAsia="黑体" w:cs="黑体"/>
          <w:color w:val="auto"/>
          <w:kern w:val="0"/>
          <w:sz w:val="28"/>
          <w:szCs w:val="28"/>
        </w:rPr>
        <w:t>-</w:t>
      </w:r>
      <w:r>
        <w:rPr>
          <w:rFonts w:ascii="黑体" w:hAnsi="黑体"/>
        </w:rPr>
        <w:fldChar w:fldCharType="begin">
          <w:ffData>
            <w:name w:val="PLSH_DATE_D"/>
            <w:enabled/>
            <w:calcOnExit w:val="0"/>
            <w:textInput>
              <w:default w:val="XX"/>
              <w:maxLength w:val="2"/>
            </w:textInput>
          </w:ffData>
        </w:fldChar>
      </w:r>
      <w:r>
        <w:rPr>
          <w:rFonts w:ascii="黑体" w:hAnsi="黑体"/>
        </w:rPr>
        <w:instrText xml:space="preserve"> FORMTEXT </w:instrText>
      </w:r>
      <w:r>
        <w:rPr>
          <w:rFonts w:ascii="黑体" w:hAnsi="黑体"/>
        </w:rPr>
        <w:fldChar w:fldCharType="separate"/>
      </w:r>
      <w:r>
        <w:rPr>
          <w:rFonts w:ascii="黑体" w:hAnsi="黑体"/>
        </w:rPr>
        <w:t>XX</w:t>
      </w:r>
      <w:r>
        <w:rPr>
          <w:rFonts w:ascii="黑体" w:hAnsi="黑体"/>
        </w:rPr>
        <w:fldChar w:fldCharType="end"/>
      </w:r>
      <w:r>
        <w:rPr>
          <w:rFonts w:hint="eastAsia" w:ascii="黑体" w:hAnsi="黑体" w:eastAsia="黑体" w:cs="黑体"/>
          <w:color w:val="auto"/>
          <w:kern w:val="0"/>
          <w:sz w:val="28"/>
          <w:szCs w:val="28"/>
        </w:rPr>
        <w:t>-</w:t>
      </w:r>
      <w:r>
        <w:rPr>
          <w:rFonts w:ascii="黑体" w:hAnsi="黑体"/>
        </w:rPr>
        <w:fldChar w:fldCharType="begin">
          <w:ffData>
            <w:name w:val="PLSH_DATE_D"/>
            <w:enabled/>
            <w:calcOnExit w:val="0"/>
            <w:textInput>
              <w:default w:val="XX"/>
              <w:maxLength w:val="2"/>
            </w:textInput>
          </w:ffData>
        </w:fldChar>
      </w:r>
      <w:r>
        <w:rPr>
          <w:rFonts w:ascii="黑体" w:hAnsi="黑体"/>
        </w:rPr>
        <w:instrText xml:space="preserve"> FORMTEXT </w:instrText>
      </w:r>
      <w:r>
        <w:rPr>
          <w:rFonts w:ascii="黑体" w:hAnsi="黑体"/>
        </w:rPr>
        <w:fldChar w:fldCharType="separate"/>
      </w:r>
      <w:r>
        <w:rPr>
          <w:rFonts w:ascii="黑体" w:hAnsi="黑体"/>
        </w:rPr>
        <w:t>XX</w:t>
      </w:r>
      <w:r>
        <w:rPr>
          <w:rFonts w:ascii="黑体" w:hAnsi="黑体"/>
        </w:rPr>
        <w:fldChar w:fldCharType="end"/>
      </w:r>
      <w:r>
        <w:rPr>
          <w:rFonts w:hint="eastAsia" w:ascii="黑体" w:hAnsi="黑体" w:eastAsia="黑体" w:cs="黑体"/>
          <w:color w:val="auto"/>
          <w:kern w:val="0"/>
          <w:szCs w:val="28"/>
        </w:rPr>
        <w:t xml:space="preserve"> </w:t>
      </w:r>
      <w:r>
        <w:rPr>
          <w:rFonts w:hint="eastAsia" w:ascii="黑体" w:hAnsi="黑体" w:eastAsia="黑体" w:cs="黑体"/>
          <w:color w:val="auto"/>
          <w:kern w:val="0"/>
          <w:sz w:val="28"/>
          <w:szCs w:val="28"/>
        </w:rPr>
        <w:t>实施</w:t>
      </w:r>
    </w:p>
    <w:bookmarkEnd w:id="0"/>
    <w:p w14:paraId="77B02C3C">
      <w:pPr>
        <w:framePr w:w="7432" w:h="584" w:hRule="exact" w:hSpace="181" w:vSpace="181" w:wrap="around" w:vAnchor="page" w:hAnchor="page" w:x="2785" w:y="15336" w:anchorLock="1"/>
        <w:widowControl/>
        <w:adjustRightInd w:val="0"/>
        <w:snapToGrid w:val="0"/>
        <w:spacing w:line="0" w:lineRule="atLeast"/>
        <w:ind w:firstLine="0" w:firstLineChars="0"/>
        <w:jc w:val="center"/>
        <w:rPr>
          <w:rFonts w:ascii="Times New Roman" w:hAnsi="Times New Roman" w:eastAsia="黑体"/>
          <w:color w:val="auto"/>
          <w:w w:val="135"/>
          <w:kern w:val="0"/>
          <w:sz w:val="36"/>
          <w:szCs w:val="20"/>
        </w:rPr>
      </w:pPr>
      <w:bookmarkStart w:id="4" w:name="_Toc32111"/>
      <w:r>
        <w:rPr>
          <w:rFonts w:hint="eastAsia" w:ascii="黑体" w:hAnsi="黑体" w:eastAsia="黑体" w:cs="黑体"/>
          <w:color w:val="auto"/>
          <w:kern w:val="0"/>
          <w:sz w:val="28"/>
          <w:szCs w:val="28"/>
        </w:rPr>
        <w:fldChar w:fldCharType="begin">
          <w:ffData>
            <w:name w:val="fm"/>
            <w:enabled/>
            <w:calcOnExit w:val="0"/>
            <w:textInput>
              <w:default w:val="广东省环境科学学会"/>
            </w:textInput>
          </w:ffData>
        </w:fldChar>
      </w:r>
      <w:r>
        <w:rPr>
          <w:rFonts w:hint="eastAsia" w:ascii="黑体" w:hAnsi="黑体" w:eastAsia="黑体" w:cs="黑体"/>
          <w:color w:val="auto"/>
          <w:kern w:val="0"/>
          <w:sz w:val="28"/>
          <w:szCs w:val="28"/>
        </w:rPr>
        <w:instrText xml:space="preserve"> FORMTEXT </w:instrText>
      </w:r>
      <w:r>
        <w:rPr>
          <w:rFonts w:hint="eastAsia" w:ascii="黑体" w:hAnsi="黑体" w:eastAsia="黑体" w:cs="黑体"/>
          <w:color w:val="auto"/>
          <w:kern w:val="0"/>
          <w:sz w:val="28"/>
          <w:szCs w:val="28"/>
        </w:rPr>
        <w:fldChar w:fldCharType="separate"/>
      </w:r>
      <w:r>
        <w:rPr>
          <w:rFonts w:hint="eastAsia" w:ascii="黑体" w:hAnsi="黑体" w:eastAsia="黑体" w:cs="黑体"/>
          <w:color w:val="auto"/>
          <w:kern w:val="0"/>
          <w:sz w:val="28"/>
          <w:szCs w:val="28"/>
        </w:rPr>
        <w:t>广东省环境科学学会</w:t>
      </w:r>
      <w:r>
        <w:rPr>
          <w:rFonts w:hint="eastAsia" w:ascii="黑体" w:hAnsi="黑体" w:eastAsia="黑体" w:cs="黑体"/>
          <w:color w:val="auto"/>
          <w:kern w:val="0"/>
          <w:sz w:val="28"/>
          <w:szCs w:val="28"/>
        </w:rPr>
        <w:fldChar w:fldCharType="end"/>
      </w:r>
      <w:r>
        <w:rPr>
          <w:rFonts w:hint="eastAsia" w:ascii="黑体" w:hAnsi="黑体" w:eastAsia="黑体" w:cs="黑体"/>
          <w:color w:val="auto"/>
          <w:kern w:val="0"/>
          <w:sz w:val="84"/>
          <w:szCs w:val="84"/>
          <w:lang w:val="en-US" w:eastAsia="zh-CN"/>
        </w:rPr>
        <w:t xml:space="preserve">  </w:t>
      </w:r>
      <w:r>
        <w:rPr>
          <w:rFonts w:hint="eastAsia" w:ascii="黑体" w:hAnsi="黑体" w:eastAsia="黑体" w:cs="黑体"/>
          <w:color w:val="auto"/>
          <w:spacing w:val="170"/>
          <w:kern w:val="0"/>
          <w:sz w:val="28"/>
          <w:szCs w:val="28"/>
        </w:rPr>
        <w:t>发</w:t>
      </w:r>
      <w:r>
        <w:rPr>
          <w:rFonts w:hint="eastAsia" w:ascii="黑体" w:hAnsi="黑体" w:eastAsia="黑体" w:cs="黑体"/>
          <w:color w:val="auto"/>
          <w:kern w:val="0"/>
          <w:sz w:val="28"/>
          <w:szCs w:val="28"/>
        </w:rPr>
        <w:t>布</w:t>
      </w:r>
    </w:p>
    <w:p w14:paraId="7B947E03">
      <w:pPr>
        <w:widowControl/>
        <w:adjustRightInd w:val="0"/>
        <w:snapToGrid w:val="0"/>
        <w:spacing w:line="360" w:lineRule="auto"/>
        <w:ind w:firstLine="640" w:firstLineChars="0"/>
        <w:jc w:val="center"/>
        <w:rPr>
          <w:rFonts w:ascii="Times New Roman" w:hAnsi="Times New Roman" w:eastAsia="黑体"/>
          <w:bCs/>
          <w:color w:val="auto"/>
          <w:szCs w:val="28"/>
          <w:highlight w:val="red"/>
        </w:rPr>
        <w:sectPr>
          <w:headerReference r:id="rId5" w:type="default"/>
          <w:headerReference r:id="rId6" w:type="even"/>
          <w:pgSz w:w="11906" w:h="16838"/>
          <w:pgMar w:top="567" w:right="1134" w:bottom="1134" w:left="1134" w:header="567" w:footer="1134" w:gutter="283"/>
          <w:pgBorders>
            <w:top w:val="none" w:sz="0" w:space="0"/>
            <w:left w:val="none" w:sz="0" w:space="0"/>
            <w:bottom w:val="none" w:sz="0" w:space="0"/>
            <w:right w:val="none" w:sz="0" w:space="0"/>
          </w:pgBorders>
          <w:pgNumType w:fmt="upperRoman" w:start="1"/>
          <w:cols w:space="0" w:num="1"/>
          <w:docGrid w:type="lines" w:linePitch="387" w:charSpace="0"/>
        </w:sectPr>
      </w:pPr>
      <w:r>
        <w:rPr>
          <w:rFonts w:ascii="Times New Roman" w:hAnsi="Times New Roman" w:eastAsia="黑体"/>
          <w:color w:val="auto"/>
          <w:kern w:val="0"/>
          <w:sz w:val="10"/>
          <w:szCs w:val="10"/>
        </w:rPr>
        <mc:AlternateContent>
          <mc:Choice Requires="wps">
            <w:drawing>
              <wp:anchor distT="0" distB="0" distL="114300" distR="114300" simplePos="0" relativeHeight="251667456" behindDoc="0" locked="0" layoutInCell="1" allowOverlap="0">
                <wp:simplePos x="0" y="0"/>
                <wp:positionH relativeFrom="page">
                  <wp:posOffset>900430</wp:posOffset>
                </wp:positionH>
                <wp:positionV relativeFrom="page">
                  <wp:posOffset>2700020</wp:posOffset>
                </wp:positionV>
                <wp:extent cx="6120130" cy="0"/>
                <wp:effectExtent l="0" t="4445" r="4445" b="508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67456;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ONrv87j&#10;AQAAqgMAAA4AAAAAAAAAAQAgAAAAJwEAAGRycy9lMm9Eb2MueG1sUEsFBgAAAAAGAAYAWQEAAHwF&#10;AAAAAA==&#10;">
                <v:fill on="f" focussize="0,0"/>
                <v:stroke color="#000000" joinstyle="round"/>
                <v:imagedata o:title=""/>
                <o:lock v:ext="edit" aspectratio="f"/>
              </v:line>
            </w:pict>
          </mc:Fallback>
        </mc:AlternateContent>
      </w:r>
    </w:p>
    <w:p w14:paraId="5023CA4E">
      <w:pPr>
        <w:keepNext w:val="0"/>
        <w:keepLines w:val="0"/>
        <w:pageBreakBefore w:val="0"/>
        <w:widowControl w:val="0"/>
        <w:kinsoku/>
        <w:wordWrap/>
        <w:overflowPunct/>
        <w:topLinePunct w:val="0"/>
        <w:autoSpaceDE/>
        <w:autoSpaceDN/>
        <w:bidi w:val="0"/>
        <w:adjustRightInd w:val="0"/>
        <w:snapToGrid w:val="0"/>
        <w:spacing w:after="680" w:line="240" w:lineRule="auto"/>
        <w:ind w:firstLine="0" w:firstLineChars="0"/>
        <w:jc w:val="center"/>
        <w:textAlignment w:val="auto"/>
        <w:rPr>
          <w:rFonts w:hint="eastAsia" w:ascii="Times New Roman" w:hAnsi="Times New Roman" w:eastAsia="黑体"/>
          <w:bCs/>
          <w:color w:val="auto"/>
          <w:sz w:val="32"/>
          <w:szCs w:val="32"/>
          <w:lang w:eastAsia="zh-CN"/>
        </w:rPr>
      </w:pPr>
      <w:r>
        <w:rPr>
          <w:rFonts w:hint="eastAsia" w:ascii="Times New Roman" w:hAnsi="Times New Roman" w:eastAsia="黑体"/>
          <w:bCs/>
          <w:color w:val="auto"/>
          <w:sz w:val="32"/>
          <w:szCs w:val="32"/>
        </w:rPr>
        <w:t>目</w:t>
      </w:r>
      <w:r>
        <w:rPr>
          <w:rFonts w:ascii="Times New Roman" w:hAnsi="Times New Roman" w:eastAsia="黑体"/>
          <w:bCs/>
          <w:color w:val="auto"/>
          <w:sz w:val="32"/>
          <w:szCs w:val="32"/>
        </w:rPr>
        <w:t xml:space="preserve">    </w:t>
      </w:r>
      <w:r>
        <w:rPr>
          <w:rFonts w:hint="eastAsia" w:ascii="Times New Roman" w:hAnsi="Times New Roman" w:eastAsia="黑体"/>
          <w:bCs/>
          <w:color w:val="auto"/>
          <w:sz w:val="32"/>
          <w:szCs w:val="32"/>
        </w:rPr>
        <w:t>次</w:t>
      </w:r>
    </w:p>
    <w:p w14:paraId="396DEA02">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color w:val="FF0000"/>
          <w:sz w:val="21"/>
          <w:szCs w:val="21"/>
        </w:rPr>
        <w:fldChar w:fldCharType="begin"/>
      </w:r>
      <w:r>
        <w:rPr>
          <w:rFonts w:hint="eastAsia" w:ascii="宋体" w:hAnsi="宋体" w:eastAsia="宋体" w:cs="宋体"/>
          <w:bCs/>
          <w:color w:val="FF0000"/>
          <w:sz w:val="21"/>
          <w:szCs w:val="21"/>
        </w:rPr>
        <w:instrText xml:space="preserve"> TOC \o "1-1" \h \z \u </w:instrText>
      </w:r>
      <w:r>
        <w:rPr>
          <w:rFonts w:hint="eastAsia" w:ascii="宋体" w:hAnsi="宋体" w:eastAsia="宋体" w:cs="宋体"/>
          <w:bCs/>
          <w:color w:val="FF0000"/>
          <w:sz w:val="21"/>
          <w:szCs w:val="21"/>
        </w:rPr>
        <w:fldChar w:fldCharType="separate"/>
      </w: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_Toc9934 </w:instrText>
      </w:r>
      <w:r>
        <w:rPr>
          <w:rFonts w:hint="eastAsia" w:ascii="宋体" w:hAnsi="宋体" w:eastAsia="宋体" w:cs="宋体"/>
          <w:bCs w:val="0"/>
          <w:kern w:val="0"/>
          <w:sz w:val="21"/>
          <w:szCs w:val="21"/>
        </w:rPr>
        <w:fldChar w:fldCharType="separate"/>
      </w:r>
      <w:r>
        <w:rPr>
          <w:rFonts w:hint="eastAsia" w:ascii="宋体" w:hAnsi="宋体" w:eastAsia="宋体" w:cs="宋体"/>
          <w:bCs w:val="0"/>
          <w:spacing w:val="0"/>
          <w:kern w:val="0"/>
          <w:sz w:val="21"/>
          <w:szCs w:val="21"/>
        </w:rPr>
        <w:t>前言</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_Toc9934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II</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4955B6E3">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_Toc28828 </w:instrText>
      </w:r>
      <w:r>
        <w:rPr>
          <w:rFonts w:hint="eastAsia" w:ascii="宋体" w:hAnsi="宋体" w:eastAsia="宋体" w:cs="宋体"/>
          <w:bCs w:val="0"/>
          <w:kern w:val="0"/>
          <w:sz w:val="21"/>
          <w:szCs w:val="21"/>
        </w:rPr>
        <w:fldChar w:fldCharType="separate"/>
      </w:r>
      <w:r>
        <w:rPr>
          <w:rFonts w:hint="eastAsia" w:ascii="宋体" w:hAnsi="宋体" w:eastAsia="宋体" w:cs="宋体"/>
          <w:kern w:val="0"/>
          <w:sz w:val="21"/>
          <w:szCs w:val="21"/>
        </w:rPr>
        <w:t>引言</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_Toc28828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III</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296FFF50">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_Toc9731 </w:instrText>
      </w:r>
      <w:r>
        <w:rPr>
          <w:rFonts w:hint="eastAsia" w:ascii="宋体" w:hAnsi="宋体" w:eastAsia="宋体" w:cs="宋体"/>
          <w:bCs w:val="0"/>
          <w:kern w:val="0"/>
          <w:sz w:val="21"/>
          <w:szCs w:val="21"/>
        </w:rPr>
        <w:fldChar w:fldCharType="separate"/>
      </w:r>
      <w:r>
        <w:rPr>
          <w:rFonts w:hint="eastAsia" w:ascii="宋体" w:hAnsi="宋体" w:eastAsia="宋体" w:cs="宋体"/>
          <w:i w:val="0"/>
          <w:kern w:val="0"/>
          <w:sz w:val="21"/>
          <w:szCs w:val="21"/>
        </w:rPr>
        <w:t xml:space="preserve">1 </w:t>
      </w:r>
      <w:r>
        <w:rPr>
          <w:rFonts w:hint="eastAsia" w:ascii="宋体" w:hAnsi="宋体" w:eastAsia="宋体" w:cs="宋体"/>
          <w:i w:val="0"/>
          <w:kern w:val="0"/>
          <w:sz w:val="21"/>
          <w:szCs w:val="21"/>
          <w:lang w:val="en-US" w:eastAsia="zh-CN"/>
        </w:rPr>
        <w:t xml:space="preserve"> </w:t>
      </w:r>
      <w:r>
        <w:rPr>
          <w:rFonts w:hint="eastAsia" w:ascii="宋体" w:hAnsi="宋体" w:eastAsia="宋体" w:cs="宋体"/>
          <w:kern w:val="0"/>
          <w:sz w:val="21"/>
          <w:szCs w:val="21"/>
        </w:rPr>
        <w:t>范围</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_Toc9731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1</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4A50FC91">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_Toc6151 </w:instrText>
      </w:r>
      <w:r>
        <w:rPr>
          <w:rFonts w:hint="eastAsia" w:ascii="宋体" w:hAnsi="宋体" w:eastAsia="宋体" w:cs="宋体"/>
          <w:bCs w:val="0"/>
          <w:kern w:val="0"/>
          <w:sz w:val="21"/>
          <w:szCs w:val="21"/>
        </w:rPr>
        <w:fldChar w:fldCharType="separate"/>
      </w:r>
      <w:r>
        <w:rPr>
          <w:rFonts w:hint="eastAsia" w:ascii="宋体" w:hAnsi="宋体" w:eastAsia="宋体" w:cs="宋体"/>
          <w:i w:val="0"/>
          <w:kern w:val="0"/>
          <w:sz w:val="21"/>
          <w:szCs w:val="21"/>
        </w:rPr>
        <w:t xml:space="preserve">2 </w:t>
      </w:r>
      <w:r>
        <w:rPr>
          <w:rFonts w:hint="eastAsia" w:ascii="宋体" w:hAnsi="宋体" w:eastAsia="宋体" w:cs="宋体"/>
          <w:i w:val="0"/>
          <w:kern w:val="0"/>
          <w:sz w:val="21"/>
          <w:szCs w:val="21"/>
          <w:lang w:val="en-US" w:eastAsia="zh-CN"/>
        </w:rPr>
        <w:t xml:space="preserve"> </w:t>
      </w:r>
      <w:r>
        <w:rPr>
          <w:rFonts w:hint="eastAsia" w:ascii="宋体" w:hAnsi="宋体" w:eastAsia="宋体" w:cs="宋体"/>
          <w:kern w:val="0"/>
          <w:sz w:val="21"/>
          <w:szCs w:val="21"/>
        </w:rPr>
        <w:t>规范性引用文件</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_Toc6151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1</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7704D918">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_Toc27460 </w:instrText>
      </w:r>
      <w:r>
        <w:rPr>
          <w:rFonts w:hint="eastAsia" w:ascii="宋体" w:hAnsi="宋体" w:eastAsia="宋体" w:cs="宋体"/>
          <w:bCs w:val="0"/>
          <w:kern w:val="0"/>
          <w:sz w:val="21"/>
          <w:szCs w:val="21"/>
        </w:rPr>
        <w:fldChar w:fldCharType="separate"/>
      </w:r>
      <w:r>
        <w:rPr>
          <w:rFonts w:hint="eastAsia" w:ascii="宋体" w:hAnsi="宋体" w:eastAsia="宋体" w:cs="宋体"/>
          <w:i w:val="0"/>
          <w:kern w:val="0"/>
          <w:sz w:val="21"/>
          <w:szCs w:val="21"/>
        </w:rPr>
        <w:t xml:space="preserve">3 </w:t>
      </w:r>
      <w:r>
        <w:rPr>
          <w:rFonts w:hint="eastAsia" w:ascii="宋体" w:hAnsi="宋体" w:eastAsia="宋体" w:cs="宋体"/>
          <w:i w:val="0"/>
          <w:kern w:val="0"/>
          <w:sz w:val="21"/>
          <w:szCs w:val="21"/>
          <w:lang w:val="en-US" w:eastAsia="zh-CN"/>
        </w:rPr>
        <w:t xml:space="preserve"> </w:t>
      </w:r>
      <w:r>
        <w:rPr>
          <w:rFonts w:hint="eastAsia" w:ascii="宋体" w:hAnsi="宋体" w:eastAsia="宋体" w:cs="宋体"/>
          <w:kern w:val="0"/>
          <w:sz w:val="21"/>
          <w:szCs w:val="21"/>
        </w:rPr>
        <w:t>术语与定义</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_Toc27460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1</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632CF70D">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_Toc5598 </w:instrText>
      </w:r>
      <w:r>
        <w:rPr>
          <w:rFonts w:hint="eastAsia" w:ascii="宋体" w:hAnsi="宋体" w:eastAsia="宋体" w:cs="宋体"/>
          <w:bCs w:val="0"/>
          <w:kern w:val="0"/>
          <w:sz w:val="21"/>
          <w:szCs w:val="21"/>
        </w:rPr>
        <w:fldChar w:fldCharType="separate"/>
      </w:r>
      <w:r>
        <w:rPr>
          <w:rFonts w:hint="eastAsia" w:ascii="宋体" w:hAnsi="宋体" w:eastAsia="宋体" w:cs="宋体"/>
          <w:i w:val="0"/>
          <w:kern w:val="0"/>
          <w:sz w:val="21"/>
          <w:szCs w:val="21"/>
        </w:rPr>
        <w:t xml:space="preserve">4 </w:t>
      </w:r>
      <w:r>
        <w:rPr>
          <w:rFonts w:hint="eastAsia" w:ascii="宋体" w:hAnsi="宋体" w:eastAsia="宋体" w:cs="宋体"/>
          <w:i w:val="0"/>
          <w:kern w:val="0"/>
          <w:sz w:val="21"/>
          <w:szCs w:val="21"/>
          <w:lang w:val="en-US" w:eastAsia="zh-CN"/>
        </w:rPr>
        <w:t xml:space="preserve"> </w:t>
      </w:r>
      <w:r>
        <w:rPr>
          <w:rFonts w:hint="eastAsia" w:ascii="宋体" w:hAnsi="宋体" w:eastAsia="宋体" w:cs="宋体"/>
          <w:kern w:val="0"/>
          <w:sz w:val="21"/>
          <w:szCs w:val="21"/>
          <w:lang w:eastAsia="zh-CN"/>
        </w:rPr>
        <w:t>基本</w:t>
      </w:r>
      <w:r>
        <w:rPr>
          <w:rFonts w:hint="eastAsia" w:ascii="宋体" w:hAnsi="宋体" w:eastAsia="宋体" w:cs="宋体"/>
          <w:kern w:val="0"/>
          <w:sz w:val="21"/>
          <w:szCs w:val="21"/>
        </w:rPr>
        <w:t>要求</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_Toc5598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1</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49DCF608">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_Toc2191 </w:instrText>
      </w:r>
      <w:r>
        <w:rPr>
          <w:rFonts w:hint="eastAsia" w:ascii="宋体" w:hAnsi="宋体" w:eastAsia="宋体" w:cs="宋体"/>
          <w:bCs w:val="0"/>
          <w:kern w:val="0"/>
          <w:sz w:val="21"/>
          <w:szCs w:val="21"/>
        </w:rPr>
        <w:fldChar w:fldCharType="separate"/>
      </w:r>
      <w:r>
        <w:rPr>
          <w:rFonts w:hint="eastAsia" w:ascii="宋体" w:hAnsi="宋体" w:eastAsia="宋体" w:cs="宋体"/>
          <w:i w:val="0"/>
          <w:kern w:val="0"/>
          <w:sz w:val="21"/>
          <w:szCs w:val="21"/>
          <w:lang w:val="en-US" w:eastAsia="zh-CN"/>
        </w:rPr>
        <w:t xml:space="preserve">5  </w:t>
      </w:r>
      <w:r>
        <w:rPr>
          <w:rFonts w:hint="eastAsia" w:ascii="宋体" w:hAnsi="宋体" w:eastAsia="宋体" w:cs="宋体"/>
          <w:kern w:val="0"/>
          <w:sz w:val="21"/>
          <w:szCs w:val="21"/>
          <w:lang w:val="en-US" w:eastAsia="zh-CN"/>
        </w:rPr>
        <w:t>编制流程</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_Toc2191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2</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24C06A41">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_Toc31414 </w:instrText>
      </w:r>
      <w:r>
        <w:rPr>
          <w:rFonts w:hint="eastAsia" w:ascii="宋体" w:hAnsi="宋体" w:eastAsia="宋体" w:cs="宋体"/>
          <w:bCs w:val="0"/>
          <w:kern w:val="0"/>
          <w:sz w:val="21"/>
          <w:szCs w:val="21"/>
        </w:rPr>
        <w:fldChar w:fldCharType="separate"/>
      </w:r>
      <w:r>
        <w:rPr>
          <w:rFonts w:hint="eastAsia" w:ascii="宋体" w:hAnsi="宋体" w:eastAsia="宋体" w:cs="宋体"/>
          <w:i w:val="0"/>
          <w:kern w:val="0"/>
          <w:sz w:val="21"/>
          <w:szCs w:val="21"/>
        </w:rPr>
        <w:t xml:space="preserve">6 </w:t>
      </w:r>
      <w:r>
        <w:rPr>
          <w:rFonts w:hint="eastAsia" w:ascii="宋体" w:hAnsi="宋体" w:eastAsia="宋体" w:cs="宋体"/>
          <w:i w:val="0"/>
          <w:kern w:val="0"/>
          <w:sz w:val="21"/>
          <w:szCs w:val="21"/>
          <w:lang w:val="en-US" w:eastAsia="zh-CN"/>
        </w:rPr>
        <w:t xml:space="preserve"> </w:t>
      </w:r>
      <w:r>
        <w:rPr>
          <w:rFonts w:hint="eastAsia" w:ascii="宋体" w:hAnsi="宋体" w:eastAsia="宋体" w:cs="宋体"/>
          <w:kern w:val="0"/>
          <w:sz w:val="21"/>
          <w:szCs w:val="21"/>
          <w:lang w:eastAsia="zh-CN"/>
        </w:rPr>
        <w:t>内容要求</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_Toc31414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3</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72538164">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_Toc8322 </w:instrText>
      </w:r>
      <w:r>
        <w:rPr>
          <w:rFonts w:hint="eastAsia" w:ascii="宋体" w:hAnsi="宋体" w:eastAsia="宋体" w:cs="宋体"/>
          <w:bCs w:val="0"/>
          <w:kern w:val="0"/>
          <w:sz w:val="21"/>
          <w:szCs w:val="21"/>
        </w:rPr>
        <w:fldChar w:fldCharType="separate"/>
      </w:r>
      <w:r>
        <w:rPr>
          <w:rFonts w:hint="eastAsia" w:ascii="宋体" w:hAnsi="宋体" w:eastAsia="宋体" w:cs="宋体"/>
          <w:i w:val="0"/>
          <w:kern w:val="0"/>
          <w:sz w:val="21"/>
          <w:szCs w:val="21"/>
        </w:rPr>
        <w:t xml:space="preserve">7 </w:t>
      </w:r>
      <w:r>
        <w:rPr>
          <w:rFonts w:hint="eastAsia" w:ascii="宋体" w:hAnsi="宋体" w:eastAsia="宋体" w:cs="宋体"/>
          <w:i w:val="0"/>
          <w:kern w:val="0"/>
          <w:sz w:val="21"/>
          <w:szCs w:val="21"/>
          <w:lang w:val="en-US" w:eastAsia="zh-CN"/>
        </w:rPr>
        <w:t xml:space="preserve"> </w:t>
      </w:r>
      <w:r>
        <w:rPr>
          <w:rFonts w:hint="eastAsia" w:ascii="宋体" w:hAnsi="宋体" w:eastAsia="宋体" w:cs="宋体"/>
          <w:kern w:val="0"/>
          <w:sz w:val="21"/>
          <w:szCs w:val="21"/>
          <w:lang w:eastAsia="zh-CN"/>
        </w:rPr>
        <w:t>其他要求</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_Toc8322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5</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59260EBA">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_Toc27015 </w:instrText>
      </w:r>
      <w:r>
        <w:rPr>
          <w:rFonts w:hint="eastAsia" w:ascii="宋体" w:hAnsi="宋体" w:eastAsia="宋体" w:cs="宋体"/>
          <w:bCs w:val="0"/>
          <w:kern w:val="0"/>
          <w:sz w:val="21"/>
          <w:szCs w:val="21"/>
        </w:rPr>
        <w:fldChar w:fldCharType="separate"/>
      </w:r>
      <w:r>
        <w:rPr>
          <w:rFonts w:hint="eastAsia" w:ascii="宋体" w:hAnsi="宋体" w:eastAsia="宋体" w:cs="宋体"/>
          <w:bCs w:val="0"/>
          <w:kern w:val="0"/>
          <w:sz w:val="21"/>
          <w:szCs w:val="21"/>
        </w:rPr>
        <w:t>附录</w:t>
      </w:r>
      <w:r>
        <w:rPr>
          <w:rFonts w:hint="eastAsia" w:ascii="宋体" w:hAnsi="宋体" w:eastAsia="宋体" w:cs="宋体"/>
          <w:bCs w:val="0"/>
          <w:kern w:val="0"/>
          <w:sz w:val="21"/>
          <w:szCs w:val="21"/>
          <w:lang w:val="en-US" w:eastAsia="zh-CN"/>
        </w:rPr>
        <w:t>A</w:t>
      </w:r>
      <w:r>
        <w:rPr>
          <w:rFonts w:hint="eastAsia" w:ascii="宋体" w:hAnsi="宋体" w:eastAsia="宋体" w:cs="宋体"/>
          <w:bCs w:val="0"/>
          <w:kern w:val="0"/>
          <w:sz w:val="21"/>
          <w:szCs w:val="21"/>
        </w:rPr>
        <w:t>（</w:t>
      </w:r>
      <w:r>
        <w:rPr>
          <w:rFonts w:hint="eastAsia" w:ascii="宋体" w:hAnsi="宋体" w:eastAsia="宋体" w:cs="宋体"/>
          <w:bCs w:val="0"/>
          <w:kern w:val="0"/>
          <w:sz w:val="21"/>
          <w:szCs w:val="21"/>
          <w:lang w:val="en-US" w:eastAsia="zh-CN"/>
        </w:rPr>
        <w:t>资料</w:t>
      </w:r>
      <w:r>
        <w:rPr>
          <w:rFonts w:hint="eastAsia" w:ascii="宋体" w:hAnsi="宋体" w:eastAsia="宋体" w:cs="宋体"/>
          <w:bCs w:val="0"/>
          <w:kern w:val="0"/>
          <w:sz w:val="21"/>
          <w:szCs w:val="21"/>
        </w:rPr>
        <w:t>性） 生态环境状况公报</w:t>
      </w:r>
      <w:r>
        <w:rPr>
          <w:rFonts w:hint="eastAsia" w:ascii="宋体" w:hAnsi="宋体" w:eastAsia="宋体" w:cs="宋体"/>
          <w:bCs w:val="0"/>
          <w:kern w:val="0"/>
          <w:sz w:val="21"/>
          <w:szCs w:val="21"/>
          <w:lang w:val="en-US" w:eastAsia="zh-CN"/>
        </w:rPr>
        <w:t>编写参考提纲</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_Toc27015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8</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0CFA7235">
      <w:pPr>
        <w:pStyle w:val="13"/>
        <w:tabs>
          <w:tab w:val="right" w:leader="dot" w:pos="9355"/>
        </w:tabs>
        <w:adjustRightInd w:val="0"/>
        <w:snapToGrid w:val="0"/>
        <w:spacing w:before="98" w:beforeLines="25" w:after="98" w:afterLines="25"/>
        <w:ind w:firstLine="0" w:firstLineChars="0"/>
        <w:rPr>
          <w:rFonts w:hint="eastAsia" w:ascii="宋体" w:hAnsi="宋体" w:eastAsia="宋体" w:cs="宋体"/>
          <w:kern w:val="0"/>
          <w:sz w:val="21"/>
          <w:szCs w:val="21"/>
        </w:rPr>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_Toc4524 </w:instrText>
      </w:r>
      <w:r>
        <w:rPr>
          <w:rFonts w:hint="eastAsia" w:ascii="宋体" w:hAnsi="宋体" w:eastAsia="宋体" w:cs="宋体"/>
          <w:bCs w:val="0"/>
          <w:kern w:val="0"/>
          <w:sz w:val="21"/>
          <w:szCs w:val="21"/>
        </w:rPr>
        <w:fldChar w:fldCharType="separate"/>
      </w:r>
      <w:r>
        <w:rPr>
          <w:rFonts w:hint="eastAsia" w:ascii="宋体" w:hAnsi="宋体" w:eastAsia="宋体" w:cs="宋体"/>
          <w:bCs w:val="0"/>
          <w:kern w:val="0"/>
          <w:sz w:val="21"/>
          <w:szCs w:val="21"/>
        </w:rPr>
        <w:t>附录</w:t>
      </w:r>
      <w:r>
        <w:rPr>
          <w:rFonts w:hint="eastAsia" w:ascii="宋体" w:hAnsi="宋体" w:eastAsia="宋体" w:cs="宋体"/>
          <w:bCs w:val="0"/>
          <w:kern w:val="0"/>
          <w:sz w:val="21"/>
          <w:szCs w:val="21"/>
          <w:lang w:val="en-US" w:eastAsia="zh-CN"/>
        </w:rPr>
        <w:t>B</w:t>
      </w:r>
      <w:r>
        <w:rPr>
          <w:rFonts w:hint="eastAsia" w:ascii="宋体" w:hAnsi="宋体" w:eastAsia="宋体" w:cs="宋体"/>
          <w:bCs w:val="0"/>
          <w:kern w:val="0"/>
          <w:sz w:val="21"/>
          <w:szCs w:val="21"/>
        </w:rPr>
        <w:t>（</w:t>
      </w:r>
      <w:r>
        <w:rPr>
          <w:rFonts w:hint="eastAsia" w:ascii="宋体" w:hAnsi="宋体" w:eastAsia="宋体" w:cs="宋体"/>
          <w:bCs w:val="0"/>
          <w:kern w:val="0"/>
          <w:sz w:val="21"/>
          <w:szCs w:val="21"/>
          <w:lang w:val="en-US" w:eastAsia="zh-CN"/>
        </w:rPr>
        <w:t>资料</w:t>
      </w:r>
      <w:r>
        <w:rPr>
          <w:rFonts w:hint="eastAsia" w:ascii="宋体" w:hAnsi="宋体" w:eastAsia="宋体" w:cs="宋体"/>
          <w:bCs w:val="0"/>
          <w:kern w:val="0"/>
          <w:sz w:val="21"/>
          <w:szCs w:val="21"/>
        </w:rPr>
        <w:t>性） 生态环境状况公报</w:t>
      </w:r>
      <w:r>
        <w:rPr>
          <w:rFonts w:hint="eastAsia" w:ascii="宋体" w:hAnsi="宋体" w:eastAsia="宋体" w:cs="宋体"/>
          <w:bCs w:val="0"/>
          <w:kern w:val="0"/>
          <w:sz w:val="21"/>
          <w:szCs w:val="21"/>
          <w:lang w:val="en-US" w:eastAsia="zh-CN"/>
        </w:rPr>
        <w:t>重点内容编制示例</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_Toc4524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10</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009EDD78">
      <w:pPr>
        <w:pStyle w:val="13"/>
        <w:tabs>
          <w:tab w:val="right" w:leader="dot" w:pos="9355"/>
        </w:tabs>
        <w:adjustRightInd w:val="0"/>
        <w:snapToGrid w:val="0"/>
        <w:spacing w:before="98" w:beforeLines="25" w:after="98" w:afterLines="25"/>
        <w:ind w:firstLine="0" w:firstLineChars="0"/>
      </w:pPr>
      <w:r>
        <w:rPr>
          <w:rFonts w:hint="eastAsia" w:ascii="宋体" w:hAnsi="宋体" w:eastAsia="宋体" w:cs="宋体"/>
          <w:bCs w:val="0"/>
          <w:color w:val="auto"/>
          <w:kern w:val="0"/>
          <w:sz w:val="21"/>
          <w:szCs w:val="21"/>
        </w:rPr>
        <w:fldChar w:fldCharType="begin"/>
      </w:r>
      <w:r>
        <w:rPr>
          <w:rFonts w:hint="eastAsia" w:ascii="宋体" w:hAnsi="宋体" w:eastAsia="宋体" w:cs="宋体"/>
          <w:bCs w:val="0"/>
          <w:kern w:val="0"/>
          <w:sz w:val="21"/>
          <w:szCs w:val="21"/>
        </w:rPr>
        <w:instrText xml:space="preserve"> HYPERLINK \l _Toc14421 </w:instrText>
      </w:r>
      <w:r>
        <w:rPr>
          <w:rFonts w:hint="eastAsia" w:ascii="宋体" w:hAnsi="宋体" w:eastAsia="宋体" w:cs="宋体"/>
          <w:bCs w:val="0"/>
          <w:kern w:val="0"/>
          <w:sz w:val="21"/>
          <w:szCs w:val="21"/>
        </w:rPr>
        <w:fldChar w:fldCharType="separate"/>
      </w:r>
      <w:r>
        <w:rPr>
          <w:rFonts w:hint="eastAsia" w:ascii="宋体" w:hAnsi="宋体" w:eastAsia="宋体" w:cs="宋体"/>
          <w:bCs w:val="0"/>
          <w:kern w:val="0"/>
          <w:sz w:val="21"/>
          <w:szCs w:val="21"/>
          <w:lang w:val="en-US" w:eastAsia="zh-CN"/>
        </w:rPr>
        <w:t>参考文献</w:t>
      </w:r>
      <w:r>
        <w:rPr>
          <w:rFonts w:hint="eastAsia" w:ascii="宋体" w:hAnsi="宋体" w:eastAsia="宋体" w:cs="宋体"/>
          <w:kern w:val="0"/>
          <w:sz w:val="21"/>
          <w:szCs w:val="21"/>
        </w:rPr>
        <w:tab/>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PAGEREF _Toc14421 \h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15</w:t>
      </w:r>
      <w:r>
        <w:rPr>
          <w:rFonts w:hint="eastAsia" w:ascii="宋体" w:hAnsi="宋体" w:eastAsia="宋体" w:cs="宋体"/>
          <w:kern w:val="0"/>
          <w:sz w:val="21"/>
          <w:szCs w:val="21"/>
        </w:rPr>
        <w:fldChar w:fldCharType="end"/>
      </w:r>
      <w:r>
        <w:rPr>
          <w:rFonts w:hint="eastAsia" w:ascii="宋体" w:hAnsi="宋体" w:eastAsia="宋体" w:cs="宋体"/>
          <w:bCs w:val="0"/>
          <w:color w:val="auto"/>
          <w:kern w:val="0"/>
          <w:sz w:val="21"/>
          <w:szCs w:val="21"/>
        </w:rPr>
        <w:fldChar w:fldCharType="end"/>
      </w:r>
    </w:p>
    <w:p w14:paraId="4D120C9E">
      <w:pPr>
        <w:pStyle w:val="13"/>
        <w:keepNext w:val="0"/>
        <w:keepLines w:val="0"/>
        <w:pageBreakBefore w:val="0"/>
        <w:widowControl w:val="0"/>
        <w:tabs>
          <w:tab w:val="right" w:leader="dot" w:pos="9354"/>
        </w:tabs>
        <w:kinsoku/>
        <w:wordWrap/>
        <w:overflowPunct/>
        <w:topLinePunct w:val="0"/>
        <w:autoSpaceDE/>
        <w:autoSpaceDN/>
        <w:bidi w:val="0"/>
        <w:adjustRightInd w:val="0"/>
        <w:snapToGrid w:val="0"/>
        <w:spacing w:line="240" w:lineRule="auto"/>
        <w:ind w:firstLine="0" w:firstLineChars="0"/>
        <w:textAlignment w:val="auto"/>
        <w:rPr>
          <w:rFonts w:ascii="宋体" w:hAnsi="宋体" w:eastAsia="宋体"/>
          <w:bCs/>
          <w:color w:val="auto"/>
          <w:sz w:val="21"/>
          <w:szCs w:val="21"/>
        </w:rPr>
        <w:sectPr>
          <w:headerReference r:id="rId7" w:type="default"/>
          <w:footerReference r:id="rId8" w:type="default"/>
          <w:footerReference r:id="rId9" w:type="even"/>
          <w:pgSz w:w="11906" w:h="16838"/>
          <w:pgMar w:top="2268" w:right="1134" w:bottom="1134" w:left="1134" w:header="1417" w:footer="1134" w:gutter="283"/>
          <w:pgBorders>
            <w:top w:val="none" w:sz="0" w:space="0"/>
            <w:left w:val="none" w:sz="0" w:space="0"/>
            <w:bottom w:val="none" w:sz="0" w:space="0"/>
            <w:right w:val="none" w:sz="0" w:space="0"/>
          </w:pgBorders>
          <w:pgNumType w:fmt="upperRoman" w:start="1"/>
          <w:cols w:space="0" w:num="1"/>
          <w:docGrid w:type="lines" w:linePitch="387" w:charSpace="0"/>
        </w:sectPr>
      </w:pPr>
      <w:r>
        <w:rPr>
          <w:rFonts w:hint="eastAsia" w:ascii="宋体" w:hAnsi="宋体" w:eastAsia="宋体" w:cs="宋体"/>
          <w:bCs/>
          <w:color w:val="FF0000"/>
          <w:szCs w:val="21"/>
        </w:rPr>
        <w:fldChar w:fldCharType="end"/>
      </w:r>
    </w:p>
    <w:p w14:paraId="02BFF9D6">
      <w:pPr>
        <w:widowControl/>
        <w:shd w:val="clear" w:color="FFFFFF" w:fill="FFFFFF"/>
        <w:adjustRightInd w:val="0"/>
        <w:snapToGrid w:val="0"/>
        <w:spacing w:after="586" w:afterLines="150"/>
        <w:ind w:firstLine="0" w:firstLineChars="0"/>
        <w:jc w:val="center"/>
        <w:outlineLvl w:val="0"/>
        <w:rPr>
          <w:rFonts w:ascii="Times New Roman" w:hAnsi="Times New Roman" w:eastAsia="宋体"/>
          <w:color w:val="auto"/>
          <w:spacing w:val="320"/>
          <w:sz w:val="21"/>
          <w:szCs w:val="32"/>
        </w:rPr>
      </w:pPr>
      <w:bookmarkStart w:id="5" w:name="_Toc102639009"/>
      <w:bookmarkStart w:id="6" w:name="_Toc21418"/>
      <w:bookmarkStart w:id="7" w:name="_Toc6119"/>
      <w:bookmarkStart w:id="8" w:name="_Toc20808"/>
      <w:bookmarkStart w:id="9" w:name="_Toc14844"/>
      <w:bookmarkStart w:id="10" w:name="_Toc6135"/>
      <w:bookmarkStart w:id="11" w:name="_Toc9934"/>
      <w:bookmarkStart w:id="12" w:name="_Toc20107"/>
      <w:bookmarkStart w:id="13" w:name="_Toc25827"/>
      <w:bookmarkStart w:id="14" w:name="_Toc106700753"/>
      <w:r>
        <w:rPr>
          <w:rFonts w:hint="eastAsia" w:ascii="Times New Roman" w:hAnsi="Times New Roman" w:eastAsia="黑体"/>
          <w:bCs/>
          <w:color w:val="auto"/>
          <w:spacing w:val="320"/>
          <w:kern w:val="0"/>
          <w:sz w:val="32"/>
          <w:szCs w:val="20"/>
        </w:rPr>
        <w:t>前</w:t>
      </w:r>
      <w:r>
        <w:rPr>
          <w:rFonts w:hint="eastAsia" w:ascii="Times New Roman" w:hAnsi="Times New Roman" w:eastAsia="黑体"/>
          <w:bCs/>
          <w:color w:val="auto"/>
          <w:spacing w:val="0"/>
          <w:kern w:val="0"/>
          <w:sz w:val="32"/>
          <w:szCs w:val="20"/>
        </w:rPr>
        <w:t>言</w:t>
      </w:r>
      <w:bookmarkEnd w:id="4"/>
      <w:bookmarkEnd w:id="5"/>
      <w:bookmarkEnd w:id="6"/>
      <w:bookmarkEnd w:id="7"/>
      <w:bookmarkEnd w:id="8"/>
      <w:bookmarkEnd w:id="9"/>
      <w:bookmarkEnd w:id="10"/>
      <w:bookmarkEnd w:id="11"/>
      <w:bookmarkEnd w:id="12"/>
      <w:bookmarkEnd w:id="13"/>
      <w:bookmarkEnd w:id="14"/>
    </w:p>
    <w:p w14:paraId="1EFD5FBF">
      <w:pPr>
        <w:pStyle w:val="24"/>
        <w:snapToGrid w:val="0"/>
        <w:ind w:firstLine="420" w:firstLineChars="200"/>
        <w:jc w:val="both"/>
        <w:rPr>
          <w:rFonts w:hAnsi="宋体"/>
          <w:color w:val="auto"/>
          <w:sz w:val="21"/>
        </w:rPr>
      </w:pPr>
      <w:r>
        <w:rPr>
          <w:rFonts w:hint="eastAsia" w:hAnsi="宋体"/>
          <w:color w:val="auto"/>
          <w:sz w:val="21"/>
        </w:rPr>
        <w:t>本文件按照</w:t>
      </w:r>
      <w:bookmarkStart w:id="15" w:name="OLE_LINK1"/>
      <w:r>
        <w:rPr>
          <w:rFonts w:hAnsi="宋体"/>
          <w:color w:val="auto"/>
          <w:sz w:val="21"/>
        </w:rPr>
        <w:t>GB/T 1.1</w:t>
      </w:r>
      <w:r>
        <w:rPr>
          <w:rFonts w:hint="eastAsia" w:hAnsi="宋体"/>
          <w:color w:val="auto"/>
          <w:sz w:val="21"/>
          <w:lang w:eastAsia="zh-CN"/>
        </w:rPr>
        <w:t>—</w:t>
      </w:r>
      <w:r>
        <w:rPr>
          <w:rFonts w:hAnsi="宋体"/>
          <w:color w:val="auto"/>
          <w:sz w:val="21"/>
        </w:rPr>
        <w:t>2020</w:t>
      </w:r>
      <w:r>
        <w:rPr>
          <w:rFonts w:hint="eastAsia" w:hAnsi="宋体"/>
          <w:color w:val="auto"/>
          <w:sz w:val="21"/>
        </w:rPr>
        <w:t>《标准化工作导则</w:t>
      </w:r>
      <w:r>
        <w:rPr>
          <w:rFonts w:hAnsi="宋体"/>
          <w:color w:val="auto"/>
          <w:sz w:val="21"/>
        </w:rPr>
        <w:t xml:space="preserve"> </w:t>
      </w:r>
      <w:r>
        <w:rPr>
          <w:rFonts w:hint="eastAsia" w:hAnsi="宋体"/>
          <w:color w:val="auto"/>
          <w:sz w:val="21"/>
          <w:lang w:val="en-US" w:eastAsia="zh-CN"/>
        </w:rPr>
        <w:t xml:space="preserve"> </w:t>
      </w:r>
      <w:r>
        <w:rPr>
          <w:rFonts w:hint="eastAsia" w:hAnsi="宋体"/>
          <w:color w:val="auto"/>
          <w:sz w:val="21"/>
        </w:rPr>
        <w:t>第</w:t>
      </w:r>
      <w:r>
        <w:rPr>
          <w:rFonts w:hAnsi="宋体"/>
          <w:color w:val="auto"/>
          <w:sz w:val="21"/>
        </w:rPr>
        <w:t>1</w:t>
      </w:r>
      <w:r>
        <w:rPr>
          <w:rFonts w:hint="eastAsia" w:hAnsi="宋体"/>
          <w:color w:val="auto"/>
          <w:sz w:val="21"/>
        </w:rPr>
        <w:t>部分：标准化文件的结构和起草规则》的</w:t>
      </w:r>
      <w:bookmarkEnd w:id="15"/>
      <w:r>
        <w:rPr>
          <w:rFonts w:hint="eastAsia" w:hAnsi="宋体"/>
          <w:color w:val="auto"/>
          <w:sz w:val="21"/>
        </w:rPr>
        <w:t>规定起草。</w:t>
      </w:r>
    </w:p>
    <w:p w14:paraId="3DACF75E">
      <w:pPr>
        <w:pStyle w:val="24"/>
        <w:snapToGrid w:val="0"/>
        <w:ind w:firstLine="420" w:firstLineChars="200"/>
        <w:jc w:val="both"/>
        <w:rPr>
          <w:rFonts w:hAnsi="宋体"/>
          <w:color w:val="auto"/>
          <w:sz w:val="21"/>
        </w:rPr>
      </w:pPr>
      <w:r>
        <w:rPr>
          <w:rFonts w:hint="eastAsia" w:hAnsi="宋体"/>
          <w:color w:val="auto"/>
          <w:sz w:val="21"/>
        </w:rPr>
        <w:t>请注意本</w:t>
      </w:r>
      <w:r>
        <w:rPr>
          <w:rFonts w:hint="eastAsia" w:hAnsi="宋体"/>
          <w:color w:val="auto"/>
          <w:sz w:val="21"/>
          <w:lang w:eastAsia="zh-CN"/>
        </w:rPr>
        <w:t>文件</w:t>
      </w:r>
      <w:r>
        <w:rPr>
          <w:rFonts w:hint="eastAsia" w:hAnsi="宋体"/>
          <w:color w:val="auto"/>
          <w:sz w:val="21"/>
        </w:rPr>
        <w:t>的某些内容可能涉及专利。本文件的发布机构不承担识别专利的责任。</w:t>
      </w:r>
    </w:p>
    <w:p w14:paraId="0DA50F97">
      <w:pPr>
        <w:pStyle w:val="24"/>
        <w:snapToGrid w:val="0"/>
        <w:ind w:firstLine="420" w:firstLineChars="200"/>
        <w:jc w:val="both"/>
        <w:rPr>
          <w:rFonts w:hAnsi="宋体"/>
          <w:color w:val="auto"/>
          <w:sz w:val="21"/>
        </w:rPr>
      </w:pPr>
      <w:r>
        <w:rPr>
          <w:rFonts w:hint="eastAsia" w:hAnsi="宋体"/>
          <w:color w:val="auto"/>
          <w:sz w:val="21"/>
        </w:rPr>
        <w:t>本文件由</w:t>
      </w:r>
      <w:r>
        <w:rPr>
          <w:rFonts w:hint="eastAsia" w:hAnsi="宋体"/>
          <w:color w:val="auto"/>
          <w:sz w:val="21"/>
          <w:lang w:eastAsia="zh-CN"/>
        </w:rPr>
        <w:t>广东省环境保护宣传教育中心</w:t>
      </w:r>
      <w:r>
        <w:rPr>
          <w:rFonts w:hint="eastAsia" w:hAnsi="宋体"/>
          <w:color w:val="auto"/>
          <w:sz w:val="21"/>
        </w:rPr>
        <w:t>提出。</w:t>
      </w:r>
    </w:p>
    <w:p w14:paraId="4ED96448">
      <w:pPr>
        <w:pStyle w:val="24"/>
        <w:snapToGrid w:val="0"/>
        <w:ind w:firstLine="420" w:firstLineChars="200"/>
        <w:jc w:val="both"/>
        <w:rPr>
          <w:rFonts w:hAnsi="宋体"/>
          <w:color w:val="auto"/>
          <w:sz w:val="21"/>
        </w:rPr>
      </w:pPr>
      <w:r>
        <w:rPr>
          <w:rFonts w:hint="eastAsia" w:hAnsi="宋体"/>
          <w:color w:val="auto"/>
          <w:sz w:val="21"/>
        </w:rPr>
        <w:t>本文件由广东省环境科学学会归口。</w:t>
      </w:r>
    </w:p>
    <w:p w14:paraId="4EC15191">
      <w:pPr>
        <w:pStyle w:val="24"/>
        <w:snapToGrid w:val="0"/>
        <w:ind w:firstLine="420" w:firstLineChars="200"/>
        <w:jc w:val="both"/>
        <w:rPr>
          <w:rFonts w:hAnsi="宋体"/>
          <w:color w:val="auto"/>
          <w:sz w:val="21"/>
        </w:rPr>
      </w:pPr>
      <w:r>
        <w:rPr>
          <w:rFonts w:hint="eastAsia" w:hAnsi="宋体"/>
          <w:color w:val="auto"/>
          <w:sz w:val="21"/>
        </w:rPr>
        <w:t>本文件起草单位：</w:t>
      </w:r>
      <w:r>
        <w:rPr>
          <w:rFonts w:hint="eastAsia" w:hAnsi="宋体"/>
          <w:color w:val="auto"/>
          <w:sz w:val="21"/>
          <w:lang w:eastAsia="zh-CN"/>
        </w:rPr>
        <w:t>广东省环境保护宣传教育中心、</w:t>
      </w:r>
      <w:r>
        <w:rPr>
          <w:rFonts w:hint="eastAsia" w:hAnsi="宋体"/>
          <w:color w:val="auto"/>
          <w:sz w:val="21"/>
        </w:rPr>
        <w:t>广东省环境科学学会。</w:t>
      </w:r>
    </w:p>
    <w:p w14:paraId="58A6E802">
      <w:pPr>
        <w:pStyle w:val="24"/>
        <w:snapToGrid w:val="0"/>
        <w:ind w:firstLine="420" w:firstLineChars="200"/>
        <w:jc w:val="both"/>
        <w:rPr>
          <w:rFonts w:hint="eastAsia" w:hAnsi="宋体"/>
          <w:color w:val="auto"/>
          <w:sz w:val="21"/>
          <w:lang w:val="en-US" w:eastAsia="zh-CN"/>
        </w:rPr>
      </w:pPr>
      <w:r>
        <w:rPr>
          <w:rFonts w:hint="eastAsia" w:hAnsi="宋体"/>
          <w:color w:val="auto"/>
          <w:sz w:val="21"/>
        </w:rPr>
        <w:t>本</w:t>
      </w:r>
      <w:r>
        <w:rPr>
          <w:rFonts w:hint="eastAsia" w:hAnsi="宋体"/>
          <w:color w:val="auto"/>
          <w:sz w:val="21"/>
          <w:lang w:eastAsia="zh-CN"/>
        </w:rPr>
        <w:t>文件</w:t>
      </w:r>
      <w:r>
        <w:rPr>
          <w:rFonts w:hint="eastAsia" w:hAnsi="宋体"/>
          <w:color w:val="auto"/>
          <w:sz w:val="21"/>
        </w:rPr>
        <w:t>主要起草人</w:t>
      </w:r>
      <w:r>
        <w:rPr>
          <w:rFonts w:hint="eastAsia" w:hAnsi="宋体"/>
          <w:color w:val="auto"/>
          <w:sz w:val="21"/>
          <w:lang w:eastAsia="zh-CN"/>
        </w:rPr>
        <w:t>：</w:t>
      </w:r>
    </w:p>
    <w:p w14:paraId="3CB34C0A">
      <w:pPr>
        <w:pStyle w:val="24"/>
        <w:snapToGrid w:val="0"/>
        <w:ind w:firstLine="420" w:firstLineChars="200"/>
        <w:jc w:val="both"/>
        <w:rPr>
          <w:rFonts w:hint="eastAsia" w:hAnsi="宋体"/>
          <w:color w:val="auto"/>
          <w:sz w:val="21"/>
          <w:lang w:val="en-US" w:eastAsia="zh-CN"/>
        </w:rPr>
      </w:pPr>
    </w:p>
    <w:p w14:paraId="721B655F">
      <w:pPr>
        <w:pStyle w:val="24"/>
        <w:snapToGrid w:val="0"/>
        <w:ind w:firstLine="420" w:firstLineChars="200"/>
        <w:jc w:val="both"/>
        <w:rPr>
          <w:rFonts w:hAnsi="宋体"/>
          <w:color w:val="auto"/>
          <w:sz w:val="21"/>
        </w:rPr>
        <w:sectPr>
          <w:headerReference r:id="rId10" w:type="default"/>
          <w:footerReference r:id="rId11" w:type="default"/>
          <w:footerReference r:id="rId12" w:type="even"/>
          <w:pgSz w:w="11906" w:h="16838"/>
          <w:pgMar w:top="2268" w:right="1134" w:bottom="1134" w:left="1134" w:header="1417" w:footer="1134" w:gutter="283"/>
          <w:pgBorders>
            <w:top w:val="none" w:sz="0" w:space="0"/>
            <w:left w:val="none" w:sz="0" w:space="0"/>
            <w:bottom w:val="none" w:sz="0" w:space="0"/>
            <w:right w:val="none" w:sz="0" w:space="0"/>
          </w:pgBorders>
          <w:pgNumType w:fmt="upperRoman"/>
          <w:cols w:space="0" w:num="1"/>
          <w:docGrid w:type="lines" w:linePitch="391" w:charSpace="0"/>
        </w:sectPr>
      </w:pPr>
    </w:p>
    <w:p w14:paraId="691F9FCB">
      <w:pPr>
        <w:widowControl/>
        <w:shd w:val="clear" w:color="FFFFFF" w:fill="FFFFFF"/>
        <w:adjustRightInd w:val="0"/>
        <w:snapToGrid w:val="0"/>
        <w:spacing w:after="580" w:afterLines="150"/>
        <w:ind w:firstLine="0" w:firstLineChars="0"/>
        <w:jc w:val="center"/>
        <w:outlineLvl w:val="0"/>
        <w:rPr>
          <w:rFonts w:ascii="Times New Roman" w:hAnsi="Times New Roman" w:eastAsia="黑体"/>
          <w:color w:val="auto"/>
          <w:kern w:val="0"/>
          <w:sz w:val="32"/>
          <w:szCs w:val="20"/>
        </w:rPr>
      </w:pPr>
      <w:bookmarkStart w:id="16" w:name="_Toc20676"/>
      <w:bookmarkStart w:id="17" w:name="_Toc28828"/>
      <w:bookmarkStart w:id="18" w:name="_Toc12950"/>
      <w:bookmarkStart w:id="19" w:name="_Toc13091"/>
      <w:bookmarkStart w:id="20" w:name="_Toc25777"/>
      <w:bookmarkStart w:id="21" w:name="_Toc31611"/>
      <w:bookmarkStart w:id="22" w:name="_Toc48"/>
      <w:bookmarkStart w:id="23" w:name="_Toc31337"/>
      <w:bookmarkStart w:id="24" w:name="_Toc102639010"/>
      <w:bookmarkStart w:id="25" w:name="_Toc106700754"/>
      <w:bookmarkStart w:id="26" w:name="_Toc24765"/>
      <w:bookmarkStart w:id="27" w:name="_Toc11622"/>
      <w:bookmarkStart w:id="28" w:name="_Toc3189"/>
      <w:bookmarkStart w:id="29" w:name="_Toc9704"/>
      <w:bookmarkStart w:id="30" w:name="_Toc530991248"/>
      <w:bookmarkStart w:id="31" w:name="_Toc5070"/>
      <w:bookmarkStart w:id="32" w:name="_Toc378"/>
      <w:bookmarkStart w:id="33" w:name="_Toc26211"/>
      <w:bookmarkStart w:id="34" w:name="_Toc5322"/>
      <w:bookmarkStart w:id="35" w:name="_Toc530990956"/>
      <w:bookmarkStart w:id="36" w:name="_Toc21534192"/>
      <w:bookmarkStart w:id="37" w:name="_Toc12546"/>
      <w:bookmarkStart w:id="38" w:name="_Toc7898274"/>
      <w:bookmarkStart w:id="39" w:name="_Toc5853"/>
      <w:bookmarkStart w:id="40" w:name="_Toc5025"/>
      <w:bookmarkStart w:id="41" w:name="_Toc530988328"/>
      <w:r>
        <w:rPr>
          <w:rFonts w:hint="eastAsia" w:ascii="Times New Roman" w:hAnsi="Times New Roman" w:eastAsia="黑体"/>
          <w:color w:val="auto"/>
          <w:kern w:val="0"/>
          <w:sz w:val="32"/>
          <w:szCs w:val="20"/>
        </w:rPr>
        <w:t>引</w:t>
      </w:r>
      <w:bookmarkStart w:id="42" w:name="_Toc30708"/>
      <w:bookmarkStart w:id="43" w:name="_Toc18884"/>
      <w:bookmarkStart w:id="44" w:name="_Toc15725"/>
      <w:bookmarkStart w:id="45" w:name="_Toc75444863"/>
      <w:bookmarkStart w:id="46" w:name="_Toc1442"/>
      <w:r>
        <w:rPr>
          <w:rFonts w:ascii="Times New Roman" w:hAnsi="Times New Roman" w:eastAsia="黑体"/>
          <w:color w:val="auto"/>
          <w:kern w:val="0"/>
          <w:sz w:val="32"/>
          <w:szCs w:val="20"/>
        </w:rPr>
        <w:t xml:space="preserve">    </w:t>
      </w:r>
      <w:r>
        <w:rPr>
          <w:rFonts w:hint="eastAsia" w:ascii="Times New Roman" w:hAnsi="Times New Roman" w:eastAsia="黑体"/>
          <w:color w:val="auto"/>
          <w:kern w:val="0"/>
          <w:sz w:val="32"/>
          <w:szCs w:val="20"/>
        </w:rPr>
        <w:t>言</w:t>
      </w:r>
      <w:bookmarkEnd w:id="16"/>
      <w:bookmarkEnd w:id="17"/>
      <w:bookmarkEnd w:id="18"/>
      <w:bookmarkEnd w:id="19"/>
      <w:bookmarkEnd w:id="20"/>
      <w:bookmarkEnd w:id="21"/>
      <w:bookmarkEnd w:id="22"/>
      <w:bookmarkEnd w:id="23"/>
      <w:bookmarkEnd w:id="24"/>
      <w:bookmarkEnd w:id="25"/>
      <w:bookmarkEnd w:id="42"/>
      <w:bookmarkEnd w:id="43"/>
      <w:bookmarkEnd w:id="44"/>
      <w:bookmarkEnd w:id="45"/>
      <w:bookmarkEnd w:id="46"/>
    </w:p>
    <w:p w14:paraId="6FBEEAED">
      <w:pPr>
        <w:widowControl/>
        <w:autoSpaceDE w:val="0"/>
        <w:autoSpaceDN w:val="0"/>
        <w:adjustRightInd w:val="0"/>
        <w:snapToGrid w:val="0"/>
        <w:rPr>
          <w:rFonts w:hint="eastAsia" w:ascii="Times New Roman" w:hAnsi="Times New Roman" w:eastAsia="宋体"/>
          <w:color w:val="auto"/>
          <w:kern w:val="0"/>
          <w:sz w:val="21"/>
          <w:szCs w:val="20"/>
        </w:rPr>
      </w:pPr>
      <w:r>
        <w:rPr>
          <w:rFonts w:hint="eastAsia" w:ascii="Times New Roman" w:hAnsi="Times New Roman" w:eastAsia="宋体"/>
          <w:color w:val="auto"/>
          <w:kern w:val="0"/>
          <w:sz w:val="21"/>
          <w:szCs w:val="20"/>
        </w:rPr>
        <w:t>生态环境状况公报是反映生态环境质量及其变化趋势的重要载体，编制和发布生态环境状况公报，对于提高公众生态环境意识、推动生态环境治理体系和治理能力现代化具有重要意义。</w:t>
      </w:r>
    </w:p>
    <w:p w14:paraId="2B243BF6">
      <w:pPr>
        <w:widowControl/>
        <w:autoSpaceDE w:val="0"/>
        <w:autoSpaceDN w:val="0"/>
        <w:adjustRightInd w:val="0"/>
        <w:snapToGrid w:val="0"/>
        <w:rPr>
          <w:rFonts w:ascii="Times New Roman" w:hAnsi="Times New Roman" w:eastAsia="宋体"/>
          <w:color w:val="auto"/>
          <w:kern w:val="0"/>
          <w:sz w:val="21"/>
          <w:szCs w:val="20"/>
        </w:rPr>
      </w:pPr>
      <w:r>
        <w:rPr>
          <w:rFonts w:hint="eastAsia" w:ascii="Times New Roman" w:hAnsi="Times New Roman" w:eastAsia="宋体"/>
          <w:color w:val="auto"/>
          <w:kern w:val="0"/>
          <w:sz w:val="21"/>
          <w:szCs w:val="20"/>
        </w:rPr>
        <w:t>为了规范生态环境状况公报的编制工作，提高公报的科学性、权威性和实用性，满足生态环境管理和公众对生态环境信息的需求，依据《中华人民共和国环境保护法》等法律法规，以及生态环境监测、评价等相关标准和规范，结合</w:t>
      </w:r>
      <w:r>
        <w:rPr>
          <w:rFonts w:hint="eastAsia" w:ascii="Times New Roman" w:hAnsi="Times New Roman" w:eastAsia="宋体"/>
          <w:color w:val="auto"/>
          <w:kern w:val="0"/>
          <w:sz w:val="21"/>
          <w:szCs w:val="20"/>
          <w:lang w:val="en-US" w:eastAsia="zh-CN"/>
        </w:rPr>
        <w:t>广东省</w:t>
      </w:r>
      <w:r>
        <w:rPr>
          <w:rFonts w:hint="eastAsia" w:ascii="Times New Roman" w:hAnsi="Times New Roman" w:eastAsia="宋体"/>
          <w:color w:val="auto"/>
          <w:kern w:val="0"/>
          <w:sz w:val="21"/>
          <w:szCs w:val="20"/>
        </w:rPr>
        <w:t>实践经验，制定本</w:t>
      </w:r>
      <w:r>
        <w:rPr>
          <w:rFonts w:hint="eastAsia" w:ascii="Times New Roman" w:hAnsi="Times New Roman" w:eastAsia="宋体"/>
          <w:color w:val="auto"/>
          <w:kern w:val="0"/>
          <w:sz w:val="21"/>
          <w:szCs w:val="20"/>
          <w:lang w:val="en-US" w:eastAsia="zh-CN"/>
        </w:rPr>
        <w:t>文件</w:t>
      </w:r>
      <w:r>
        <w:rPr>
          <w:rFonts w:hint="eastAsia" w:ascii="Times New Roman" w:hAnsi="Times New Roman" w:eastAsia="宋体"/>
          <w:color w:val="auto"/>
          <w:kern w:val="0"/>
          <w:sz w:val="21"/>
          <w:szCs w:val="20"/>
        </w:rPr>
        <w:t>。</w:t>
      </w:r>
    </w:p>
    <w:p w14:paraId="38E1470B">
      <w:pPr>
        <w:widowControl/>
        <w:autoSpaceDE w:val="0"/>
        <w:autoSpaceDN w:val="0"/>
        <w:adjustRightInd w:val="0"/>
        <w:snapToGrid w:val="0"/>
        <w:rPr>
          <w:rFonts w:ascii="Times New Roman" w:hAnsi="Times New Roman" w:eastAsia="宋体"/>
          <w:color w:val="auto"/>
          <w:kern w:val="0"/>
          <w:sz w:val="21"/>
          <w:szCs w:val="20"/>
        </w:rPr>
      </w:pPr>
    </w:p>
    <w:p w14:paraId="40A0EE82">
      <w:pPr>
        <w:adjustRightInd w:val="0"/>
        <w:snapToGrid w:val="0"/>
        <w:spacing w:line="360" w:lineRule="auto"/>
        <w:ind w:firstLine="0" w:firstLineChars="0"/>
        <w:jc w:val="center"/>
        <w:rPr>
          <w:rFonts w:ascii="Times New Roman" w:hAnsi="Times New Roman" w:eastAsia="黑体"/>
          <w:bCs/>
          <w:color w:val="auto"/>
          <w:szCs w:val="28"/>
        </w:rPr>
        <w:sectPr>
          <w:headerReference r:id="rId13" w:type="default"/>
          <w:footerReference r:id="rId15" w:type="default"/>
          <w:headerReference r:id="rId14" w:type="even"/>
          <w:footerReference r:id="rId16" w:type="even"/>
          <w:pgSz w:w="11906" w:h="16838"/>
          <w:pgMar w:top="2268" w:right="1134" w:bottom="1134" w:left="1134" w:header="1417" w:footer="1134" w:gutter="283"/>
          <w:pgBorders>
            <w:top w:val="none" w:sz="0" w:space="0"/>
            <w:left w:val="none" w:sz="0" w:space="0"/>
            <w:bottom w:val="none" w:sz="0" w:space="0"/>
            <w:right w:val="none" w:sz="0" w:space="0"/>
          </w:pgBorders>
          <w:pgNumType w:fmt="upperRoman"/>
          <w:cols w:space="0" w:num="1"/>
          <w:docGrid w:type="lines" w:linePitch="387" w:charSpace="0"/>
        </w:sectPr>
      </w:pPr>
    </w:p>
    <w:p w14:paraId="756FFD58">
      <w:pPr>
        <w:pageBreakBefore w:val="0"/>
        <w:widowControl/>
        <w:kinsoku/>
        <w:wordWrap/>
        <w:overflowPunct/>
        <w:topLinePunct w:val="0"/>
        <w:bidi w:val="0"/>
        <w:adjustRightInd w:val="0"/>
        <w:snapToGrid w:val="0"/>
        <w:spacing w:before="567" w:beforeLines="0" w:after="680" w:afterLines="0" w:line="240" w:lineRule="auto"/>
        <w:ind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rPr>
        <w:t>生态环境状况公报编制技术规范</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2E8E1204">
      <w:pPr>
        <w:pageBreakBefore w:val="0"/>
        <w:numPr>
          <w:ilvl w:val="1"/>
          <w:numId w:val="1"/>
        </w:numPr>
        <w:kinsoku/>
        <w:wordWrap/>
        <w:overflowPunct/>
        <w:topLinePunct w:val="0"/>
        <w:bidi w:val="0"/>
        <w:adjustRightInd w:val="0"/>
        <w:snapToGrid w:val="0"/>
        <w:spacing w:before="387" w:beforeLines="100" w:after="387" w:afterLines="100"/>
        <w:ind w:firstLineChars="0"/>
        <w:textAlignment w:val="auto"/>
        <w:outlineLvl w:val="0"/>
        <w:rPr>
          <w:rFonts w:ascii="Times New Roman" w:hAnsi="Times New Roman" w:eastAsia="黑体"/>
          <w:color w:val="auto"/>
          <w:sz w:val="21"/>
        </w:rPr>
      </w:pPr>
      <w:bookmarkStart w:id="47" w:name="_Toc17233333"/>
      <w:bookmarkStart w:id="48" w:name="_Toc26986530"/>
      <w:bookmarkStart w:id="49" w:name="_Toc26718930"/>
      <w:bookmarkStart w:id="50" w:name="_Toc26444"/>
      <w:bookmarkStart w:id="51" w:name="_Toc24884218"/>
      <w:bookmarkStart w:id="52" w:name="_Toc75444864"/>
      <w:bookmarkStart w:id="53" w:name="_Toc17233325"/>
      <w:bookmarkStart w:id="54" w:name="_Toc26986771"/>
      <w:bookmarkStart w:id="55" w:name="_Toc26648465"/>
      <w:bookmarkStart w:id="56" w:name="_Toc24884211"/>
      <w:bookmarkStart w:id="57" w:name="_Toc3398"/>
      <w:bookmarkStart w:id="58" w:name="_Toc16761"/>
      <w:bookmarkStart w:id="59" w:name="_Toc75439999"/>
      <w:bookmarkStart w:id="60" w:name="_Toc14738"/>
      <w:bookmarkStart w:id="61" w:name="_Toc9731"/>
      <w:bookmarkStart w:id="62" w:name="_Toc19461"/>
      <w:bookmarkStart w:id="63" w:name="_Toc106704182"/>
      <w:bookmarkStart w:id="64" w:name="_Toc12291"/>
      <w:bookmarkStart w:id="65" w:name="_Toc8879"/>
      <w:r>
        <w:rPr>
          <w:rFonts w:hint="eastAsia" w:ascii="Times New Roman" w:hAnsi="Times New Roman" w:eastAsia="黑体"/>
          <w:color w:val="auto"/>
          <w:sz w:val="21"/>
        </w:rPr>
        <w:t>范围</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0938156">
      <w:pPr>
        <w:pageBreakBefore w:val="0"/>
        <w:widowControl/>
        <w:kinsoku/>
        <w:wordWrap/>
        <w:overflowPunct/>
        <w:topLinePunct w:val="0"/>
        <w:bidi w:val="0"/>
        <w:adjustRightInd w:val="0"/>
        <w:snapToGrid w:val="0"/>
        <w:jc w:val="both"/>
        <w:textAlignment w:val="auto"/>
        <w:rPr>
          <w:rFonts w:hint="eastAsia" w:ascii="Times New Roman" w:hAnsi="Times New Roman" w:eastAsia="宋体"/>
          <w:color w:val="auto"/>
          <w:sz w:val="21"/>
          <w:szCs w:val="24"/>
          <w:lang w:eastAsia="zh-CN" w:bidi="ar"/>
        </w:rPr>
      </w:pPr>
      <w:r>
        <w:rPr>
          <w:rFonts w:hint="eastAsia" w:ascii="Times New Roman" w:hAnsi="Times New Roman" w:eastAsia="宋体"/>
          <w:color w:val="auto"/>
          <w:sz w:val="21"/>
          <w:szCs w:val="24"/>
          <w:lang w:bidi="ar"/>
        </w:rPr>
        <w:t>本文件规定了</w:t>
      </w:r>
      <w:r>
        <w:rPr>
          <w:rFonts w:hint="eastAsia" w:ascii="Times New Roman" w:hAnsi="Times New Roman" w:eastAsia="宋体"/>
          <w:color w:val="auto"/>
          <w:sz w:val="21"/>
          <w:szCs w:val="24"/>
          <w:lang w:eastAsia="zh-CN" w:bidi="ar"/>
        </w:rPr>
        <w:t>生态环境状况公报编制的基本要求、</w:t>
      </w:r>
      <w:r>
        <w:rPr>
          <w:rFonts w:hint="eastAsia" w:ascii="Times New Roman" w:hAnsi="Times New Roman" w:eastAsia="宋体"/>
          <w:color w:val="auto"/>
          <w:sz w:val="21"/>
          <w:szCs w:val="24"/>
          <w:lang w:val="en-US" w:eastAsia="zh-CN" w:bidi="ar"/>
        </w:rPr>
        <w:t>编制流程、</w:t>
      </w:r>
      <w:r>
        <w:rPr>
          <w:rFonts w:hint="eastAsia" w:ascii="Times New Roman" w:hAnsi="Times New Roman" w:eastAsia="宋体"/>
          <w:color w:val="auto"/>
          <w:sz w:val="21"/>
          <w:szCs w:val="24"/>
          <w:lang w:eastAsia="zh-CN" w:bidi="ar"/>
        </w:rPr>
        <w:t>内容</w:t>
      </w:r>
      <w:r>
        <w:rPr>
          <w:rFonts w:hint="eastAsia" w:ascii="Times New Roman" w:hAnsi="Times New Roman" w:eastAsia="宋体"/>
          <w:color w:val="auto"/>
          <w:sz w:val="21"/>
          <w:szCs w:val="24"/>
          <w:lang w:val="en-US" w:eastAsia="zh-CN" w:bidi="ar"/>
        </w:rPr>
        <w:t>要求及其他要求</w:t>
      </w:r>
      <w:r>
        <w:rPr>
          <w:rFonts w:hint="eastAsia" w:ascii="Times New Roman" w:hAnsi="Times New Roman" w:eastAsia="宋体"/>
          <w:color w:val="auto"/>
          <w:sz w:val="21"/>
          <w:szCs w:val="24"/>
          <w:lang w:eastAsia="zh-CN" w:bidi="ar"/>
        </w:rPr>
        <w:t>。</w:t>
      </w:r>
    </w:p>
    <w:p w14:paraId="4DD4065B">
      <w:pPr>
        <w:pageBreakBefore w:val="0"/>
        <w:widowControl/>
        <w:kinsoku/>
        <w:wordWrap/>
        <w:overflowPunct/>
        <w:topLinePunct w:val="0"/>
        <w:bidi w:val="0"/>
        <w:adjustRightInd w:val="0"/>
        <w:snapToGrid w:val="0"/>
        <w:jc w:val="both"/>
        <w:textAlignment w:val="auto"/>
        <w:rPr>
          <w:rFonts w:hint="default" w:ascii="Times New Roman" w:hAnsi="Times New Roman" w:eastAsia="宋体"/>
          <w:color w:val="auto"/>
          <w:sz w:val="21"/>
          <w:szCs w:val="24"/>
          <w:lang w:val="en-US" w:eastAsia="zh-CN" w:bidi="ar"/>
        </w:rPr>
      </w:pPr>
      <w:r>
        <w:rPr>
          <w:rFonts w:hint="eastAsia" w:ascii="Times New Roman" w:hAnsi="Times New Roman" w:eastAsia="宋体"/>
          <w:color w:val="auto"/>
          <w:sz w:val="21"/>
          <w:szCs w:val="24"/>
          <w:lang w:eastAsia="zh-CN" w:bidi="ar"/>
        </w:rPr>
        <w:t>本文件适用于广东省省级生态环境部门生态环境状况公报编制工作。广东省县级以上（含县级）其他生态环境部门生态环境状况公报编制工作可参考本文件。</w:t>
      </w:r>
    </w:p>
    <w:p w14:paraId="35507376">
      <w:pPr>
        <w:pageBreakBefore w:val="0"/>
        <w:numPr>
          <w:ilvl w:val="1"/>
          <w:numId w:val="1"/>
        </w:numPr>
        <w:kinsoku/>
        <w:wordWrap/>
        <w:overflowPunct/>
        <w:topLinePunct w:val="0"/>
        <w:bidi w:val="0"/>
        <w:adjustRightInd w:val="0"/>
        <w:snapToGrid w:val="0"/>
        <w:spacing w:before="387" w:beforeLines="100" w:after="387" w:afterLines="100"/>
        <w:ind w:firstLineChars="0"/>
        <w:jc w:val="both"/>
        <w:textAlignment w:val="auto"/>
        <w:outlineLvl w:val="0"/>
        <w:rPr>
          <w:rFonts w:ascii="Times New Roman" w:hAnsi="Times New Roman" w:eastAsia="黑体"/>
          <w:color w:val="auto"/>
          <w:sz w:val="21"/>
        </w:rPr>
      </w:pPr>
      <w:bookmarkStart w:id="66" w:name="_Toc26515"/>
      <w:bookmarkStart w:id="67" w:name="_Toc6151"/>
      <w:bookmarkStart w:id="68" w:name="_Toc26025"/>
      <w:bookmarkStart w:id="69" w:name="_Toc29034"/>
      <w:bookmarkStart w:id="70" w:name="_Toc22419"/>
      <w:bookmarkStart w:id="71" w:name="_Toc2400"/>
      <w:bookmarkStart w:id="72" w:name="_Toc25224"/>
      <w:bookmarkStart w:id="73" w:name="_Toc8109"/>
      <w:bookmarkStart w:id="74" w:name="_Toc4803"/>
      <w:bookmarkStart w:id="75" w:name="_Toc31834"/>
      <w:bookmarkStart w:id="76" w:name="_Toc4859"/>
      <w:bookmarkStart w:id="77" w:name="_Toc3219"/>
      <w:bookmarkStart w:id="78" w:name="_Toc106700756"/>
      <w:bookmarkStart w:id="79" w:name="_Toc102639012"/>
      <w:bookmarkStart w:id="80" w:name="_Toc22608"/>
      <w:bookmarkStart w:id="81" w:name="_Toc22440"/>
      <w:bookmarkStart w:id="82" w:name="_Toc20739"/>
      <w:r>
        <w:rPr>
          <w:rFonts w:hint="eastAsia" w:ascii="Times New Roman" w:hAnsi="Times New Roman" w:eastAsia="黑体"/>
          <w:color w:val="auto"/>
          <w:sz w:val="21"/>
        </w:rPr>
        <w:t>规范性引用文件</w:t>
      </w:r>
      <w:bookmarkEnd w:id="66"/>
      <w:bookmarkEnd w:id="67"/>
      <w:bookmarkEnd w:id="68"/>
      <w:bookmarkEnd w:id="69"/>
      <w:bookmarkEnd w:id="70"/>
    </w:p>
    <w:bookmarkEnd w:id="71"/>
    <w:bookmarkEnd w:id="72"/>
    <w:bookmarkEnd w:id="73"/>
    <w:bookmarkEnd w:id="74"/>
    <w:bookmarkEnd w:id="75"/>
    <w:bookmarkEnd w:id="76"/>
    <w:bookmarkEnd w:id="77"/>
    <w:bookmarkEnd w:id="78"/>
    <w:bookmarkEnd w:id="79"/>
    <w:bookmarkEnd w:id="80"/>
    <w:bookmarkEnd w:id="81"/>
    <w:bookmarkEnd w:id="82"/>
    <w:p w14:paraId="1A20C52E">
      <w:pPr>
        <w:pStyle w:val="39"/>
        <w:pageBreakBefore w:val="0"/>
        <w:kinsoku/>
        <w:wordWrap/>
        <w:overflowPunct/>
        <w:topLinePunct w:val="0"/>
        <w:bidi w:val="0"/>
        <w:adjustRightInd w:val="0"/>
        <w:snapToGrid w:val="0"/>
        <w:ind w:firstLine="420"/>
        <w:textAlignment w:val="auto"/>
        <w:rPr>
          <w:rFonts w:hint="eastAsia" w:ascii="宋体" w:hAnsi="宋体" w:eastAsia="宋体" w:cs="Times New Roman"/>
          <w:color w:val="auto"/>
          <w:szCs w:val="24"/>
          <w:lang w:bidi="ar"/>
        </w:rPr>
      </w:pPr>
      <w:r>
        <w:rPr>
          <w:rFonts w:hint="eastAsia" w:hAnsi="宋体"/>
          <w:color w:val="auto"/>
          <w:szCs w:val="24"/>
          <w:lang w:bidi="ar"/>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96F9DE6">
      <w:pPr>
        <w:pStyle w:val="39"/>
        <w:pageBreakBefore w:val="0"/>
        <w:kinsoku/>
        <w:wordWrap/>
        <w:overflowPunct/>
        <w:topLinePunct w:val="0"/>
        <w:bidi w:val="0"/>
        <w:adjustRightInd w:val="0"/>
        <w:snapToGrid w:val="0"/>
        <w:ind w:firstLine="420"/>
        <w:textAlignment w:val="auto"/>
        <w:rPr>
          <w:rFonts w:hint="eastAsia"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GB 3100  国际单位制及其应用</w:t>
      </w:r>
    </w:p>
    <w:p w14:paraId="67001B2B">
      <w:pPr>
        <w:pStyle w:val="39"/>
        <w:pageBreakBefore w:val="0"/>
        <w:kinsoku/>
        <w:wordWrap/>
        <w:overflowPunct/>
        <w:topLinePunct w:val="0"/>
        <w:bidi w:val="0"/>
        <w:adjustRightInd w:val="0"/>
        <w:snapToGrid w:val="0"/>
        <w:ind w:firstLine="420"/>
        <w:textAlignment w:val="auto"/>
        <w:rPr>
          <w:rFonts w:hint="eastAsia"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GB/T 3101  有关量、单位和符号的一般原则</w:t>
      </w:r>
    </w:p>
    <w:p w14:paraId="3ADBF8CB">
      <w:pPr>
        <w:pStyle w:val="39"/>
        <w:pageBreakBefore w:val="0"/>
        <w:kinsoku/>
        <w:wordWrap/>
        <w:overflowPunct/>
        <w:topLinePunct w:val="0"/>
        <w:bidi w:val="0"/>
        <w:adjustRightInd w:val="0"/>
        <w:snapToGrid w:val="0"/>
        <w:ind w:firstLine="420"/>
        <w:textAlignment w:val="auto"/>
        <w:rPr>
          <w:rFonts w:hint="eastAsia"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GB/T 3102.1  空间和时间的量和单位</w:t>
      </w:r>
    </w:p>
    <w:p w14:paraId="243FFC72">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3102.2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"https://std.samr.gov.cn/gb/search/gbDetailed?id=71F772D79A37D3A7E05397BE0A0AB82A"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周期及其有关现象的量和单位</w:t>
      </w:r>
      <w:r>
        <w:rPr>
          <w:rFonts w:hint="default" w:ascii="宋体" w:hAnsi="宋体" w:eastAsia="宋体" w:cs="Times New Roman"/>
          <w:color w:val="auto"/>
          <w:szCs w:val="24"/>
          <w:lang w:bidi="ar"/>
        </w:rPr>
        <w:fldChar w:fldCharType="end"/>
      </w:r>
    </w:p>
    <w:p w14:paraId="64B07992">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3102.3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"https://std.samr.gov.cn/gb/search/gbDetailed?id=71F772D79A69D3A7E05397BE0A0AB82A"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力学的量和单位</w:t>
      </w:r>
      <w:r>
        <w:rPr>
          <w:rFonts w:hint="default" w:ascii="宋体" w:hAnsi="宋体" w:eastAsia="宋体" w:cs="Times New Roman"/>
          <w:color w:val="auto"/>
          <w:szCs w:val="24"/>
          <w:lang w:bidi="ar"/>
        </w:rPr>
        <w:fldChar w:fldCharType="end"/>
      </w:r>
    </w:p>
    <w:p w14:paraId="4A5F3992">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3102.4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"https://std.samr.gov.cn/gb/search/gbDetailed?id=71F772D7C091D3A7E05397BE0A0AB82A"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热学的量和单位</w:t>
      </w:r>
      <w:r>
        <w:rPr>
          <w:rFonts w:hint="default" w:ascii="宋体" w:hAnsi="宋体" w:eastAsia="宋体" w:cs="Times New Roman"/>
          <w:color w:val="auto"/>
          <w:szCs w:val="24"/>
          <w:lang w:bidi="ar"/>
        </w:rPr>
        <w:fldChar w:fldCharType="end"/>
      </w:r>
    </w:p>
    <w:p w14:paraId="751FA92F">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3102.5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"https://std.samr.gov.cn/gb/search/gbDetailed?id=71F772D799E0D3A7E05397BE0A0AB82A"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电学和磁学的量和单位</w:t>
      </w:r>
      <w:r>
        <w:rPr>
          <w:rFonts w:hint="default" w:ascii="宋体" w:hAnsi="宋体" w:eastAsia="宋体" w:cs="Times New Roman"/>
          <w:color w:val="auto"/>
          <w:szCs w:val="24"/>
          <w:lang w:bidi="ar"/>
        </w:rPr>
        <w:fldChar w:fldCharType="end"/>
      </w:r>
    </w:p>
    <w:p w14:paraId="314B401C">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3102.6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"https://std.samr.gov.cn/gb/search/gbDetailed?id=71F772D799E1D3A7E05397BE0A0AB82A"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光及有关电磁辐射的量和单位</w:t>
      </w:r>
      <w:r>
        <w:rPr>
          <w:rFonts w:hint="default" w:ascii="宋体" w:hAnsi="宋体" w:eastAsia="宋体" w:cs="Times New Roman"/>
          <w:color w:val="auto"/>
          <w:szCs w:val="24"/>
          <w:lang w:bidi="ar"/>
        </w:rPr>
        <w:fldChar w:fldCharType="end"/>
      </w:r>
    </w:p>
    <w:p w14:paraId="3370738E">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3102.7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"https://std.samr.gov.cn/gb/search/gbDetailed?id=71F772D799E2D3A7E05397BE0A0AB82A"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声学的量和单位</w:t>
      </w:r>
      <w:r>
        <w:rPr>
          <w:rFonts w:hint="default" w:ascii="宋体" w:hAnsi="宋体" w:eastAsia="宋体" w:cs="Times New Roman"/>
          <w:color w:val="auto"/>
          <w:szCs w:val="24"/>
          <w:lang w:bidi="ar"/>
        </w:rPr>
        <w:fldChar w:fldCharType="end"/>
      </w:r>
    </w:p>
    <w:p w14:paraId="749C0C41">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3102.8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"https://std.samr.gov.cn/gb/search/gbDetailed?id=71F772D799E3D3A7E05397BE0A0AB82A"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物理化学和分子物理学的量和单位</w:t>
      </w:r>
      <w:r>
        <w:rPr>
          <w:rFonts w:hint="default" w:ascii="宋体" w:hAnsi="宋体" w:eastAsia="宋体" w:cs="Times New Roman"/>
          <w:color w:val="auto"/>
          <w:szCs w:val="24"/>
          <w:lang w:bidi="ar"/>
        </w:rPr>
        <w:fldChar w:fldCharType="end"/>
      </w:r>
    </w:p>
    <w:p w14:paraId="2AB84EB1">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3102.9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"https://std.samr.gov.cn/gb/search/gbDetailed?id=71F772D81D3CD3A7E05397BE0A0AB82A"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原子物理学和核物理学的量和单位</w:t>
      </w:r>
      <w:r>
        <w:rPr>
          <w:rFonts w:hint="default" w:ascii="宋体" w:hAnsi="宋体" w:eastAsia="宋体" w:cs="Times New Roman"/>
          <w:color w:val="auto"/>
          <w:szCs w:val="24"/>
          <w:lang w:bidi="ar"/>
        </w:rPr>
        <w:fldChar w:fldCharType="end"/>
      </w:r>
    </w:p>
    <w:p w14:paraId="7B1B5CC8">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3102.10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"https://std.samr.gov.cn/gb/search/gbDetailed?id=71F772D796C7D3A7E05397BE0A0AB82A"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核反应和电离辐射的量和单位</w:t>
      </w:r>
      <w:r>
        <w:rPr>
          <w:rFonts w:hint="default" w:ascii="宋体" w:hAnsi="宋体" w:eastAsia="宋体" w:cs="Times New Roman"/>
          <w:color w:val="auto"/>
          <w:szCs w:val="24"/>
          <w:lang w:bidi="ar"/>
        </w:rPr>
        <w:fldChar w:fldCharType="end"/>
      </w:r>
    </w:p>
    <w:p w14:paraId="101DE7B3">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3102.11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"https://std.samr.gov.cn/gb/search/gbDetailed?id=71F772D812E4D3A7E05397BE0A0AB82A"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物理科学和技术中使用的数学符号</w:t>
      </w:r>
      <w:r>
        <w:rPr>
          <w:rFonts w:hint="default" w:ascii="宋体" w:hAnsi="宋体" w:eastAsia="宋体" w:cs="Times New Roman"/>
          <w:color w:val="auto"/>
          <w:szCs w:val="24"/>
          <w:lang w:bidi="ar"/>
        </w:rPr>
        <w:fldChar w:fldCharType="end"/>
      </w:r>
    </w:p>
    <w:p w14:paraId="3F8A824E">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3102.12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"https://std.samr.gov.cn/gb/search/gbDetailed?id=71F772D79AF3D3A7E05397BE0A0AB82A"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特征数</w:t>
      </w:r>
      <w:r>
        <w:rPr>
          <w:rFonts w:hint="default" w:ascii="宋体" w:hAnsi="宋体" w:eastAsia="宋体" w:cs="Times New Roman"/>
          <w:color w:val="auto"/>
          <w:szCs w:val="24"/>
          <w:lang w:bidi="ar"/>
        </w:rPr>
        <w:fldChar w:fldCharType="end"/>
      </w:r>
    </w:p>
    <w:p w14:paraId="1843B538">
      <w:pPr>
        <w:pStyle w:val="39"/>
        <w:pageBreakBefore w:val="0"/>
        <w:kinsoku/>
        <w:wordWrap/>
        <w:overflowPunct/>
        <w:topLinePunct w:val="0"/>
        <w:bidi w:val="0"/>
        <w:adjustRightInd w:val="0"/>
        <w:snapToGrid w:val="0"/>
        <w:ind w:firstLine="420"/>
        <w:textAlignment w:val="auto"/>
        <w:rPr>
          <w:rFonts w:hint="default"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 xml:space="preserve">GB/T 3102.13  </w:t>
      </w:r>
      <w:r>
        <w:rPr>
          <w:rFonts w:hint="eastAsia" w:ascii="宋体" w:hAnsi="宋体" w:eastAsia="宋体" w:cs="Times New Roman"/>
          <w:color w:val="auto"/>
          <w:szCs w:val="24"/>
          <w:lang w:bidi="ar"/>
        </w:rPr>
        <w:fldChar w:fldCharType="begin"/>
      </w:r>
      <w:r>
        <w:rPr>
          <w:rFonts w:hint="eastAsia" w:ascii="宋体" w:hAnsi="宋体" w:eastAsia="宋体" w:cs="Times New Roman"/>
          <w:color w:val="auto"/>
          <w:szCs w:val="24"/>
          <w:lang w:bidi="ar"/>
        </w:rPr>
        <w:instrText xml:space="preserve"> HYPERLINK "https://std.samr.gov.cn/gb/search/gbDetailed?id=71F772D79AF4D3A7E05397BE0A0AB82A" \t "https://std.samr.gov.cn/search/stdPage?q=GB/_blank" </w:instrText>
      </w:r>
      <w:r>
        <w:rPr>
          <w:rFonts w:hint="eastAsia" w:ascii="宋体" w:hAnsi="宋体" w:eastAsia="宋体" w:cs="Times New Roman"/>
          <w:color w:val="auto"/>
          <w:szCs w:val="24"/>
          <w:lang w:bidi="ar"/>
        </w:rPr>
        <w:fldChar w:fldCharType="separate"/>
      </w:r>
      <w:r>
        <w:rPr>
          <w:rFonts w:hint="default" w:ascii="宋体" w:hAnsi="宋体" w:eastAsia="宋体" w:cs="Times New Roman"/>
          <w:color w:val="auto"/>
          <w:szCs w:val="24"/>
          <w:lang w:bidi="ar"/>
        </w:rPr>
        <w:t>固体物理学的量和单位</w:t>
      </w:r>
      <w:r>
        <w:rPr>
          <w:rFonts w:hint="default" w:ascii="宋体" w:hAnsi="宋体" w:eastAsia="宋体" w:cs="Times New Roman"/>
          <w:color w:val="auto"/>
          <w:szCs w:val="24"/>
          <w:lang w:bidi="ar"/>
        </w:rPr>
        <w:fldChar w:fldCharType="end"/>
      </w:r>
    </w:p>
    <w:p w14:paraId="5D129236">
      <w:pPr>
        <w:pStyle w:val="39"/>
        <w:pageBreakBefore w:val="0"/>
        <w:kinsoku/>
        <w:wordWrap/>
        <w:overflowPunct/>
        <w:topLinePunct w:val="0"/>
        <w:bidi w:val="0"/>
        <w:adjustRightInd w:val="0"/>
        <w:snapToGrid w:val="0"/>
        <w:ind w:firstLine="420"/>
        <w:textAlignment w:val="auto"/>
        <w:rPr>
          <w:rFonts w:hint="eastAsia" w:ascii="宋体" w:hAnsi="宋体" w:eastAsia="宋体" w:cs="Times New Roman"/>
          <w:color w:val="auto"/>
          <w:szCs w:val="24"/>
          <w:lang w:val="en-US" w:eastAsia="zh-CN" w:bidi="ar"/>
        </w:rPr>
      </w:pPr>
      <w:r>
        <w:rPr>
          <w:rFonts w:hint="eastAsia" w:ascii="宋体" w:hAnsi="宋体" w:eastAsia="宋体" w:cs="Times New Roman"/>
          <w:color w:val="auto"/>
          <w:szCs w:val="24"/>
          <w:lang w:val="en-US" w:eastAsia="zh-CN" w:bidi="ar"/>
        </w:rPr>
        <w:t>GB/T 15834  标点符号用法</w:t>
      </w:r>
    </w:p>
    <w:p w14:paraId="7810847B">
      <w:pPr>
        <w:pageBreakBefore w:val="0"/>
        <w:numPr>
          <w:ilvl w:val="1"/>
          <w:numId w:val="1"/>
        </w:numPr>
        <w:kinsoku/>
        <w:wordWrap/>
        <w:overflowPunct/>
        <w:topLinePunct w:val="0"/>
        <w:bidi w:val="0"/>
        <w:adjustRightInd w:val="0"/>
        <w:snapToGrid w:val="0"/>
        <w:spacing w:before="387" w:beforeLines="100" w:after="387" w:afterLines="100"/>
        <w:ind w:firstLineChars="0"/>
        <w:textAlignment w:val="auto"/>
        <w:outlineLvl w:val="0"/>
        <w:rPr>
          <w:rFonts w:ascii="Times New Roman" w:hAnsi="Times New Roman" w:eastAsia="黑体"/>
          <w:color w:val="auto"/>
          <w:sz w:val="21"/>
        </w:rPr>
      </w:pPr>
      <w:bookmarkStart w:id="83" w:name="_Toc14377"/>
      <w:bookmarkStart w:id="84" w:name="_Toc27460"/>
      <w:bookmarkStart w:id="85" w:name="_Toc76"/>
      <w:bookmarkStart w:id="86" w:name="_Toc26842"/>
      <w:bookmarkStart w:id="87" w:name="_Toc23915"/>
      <w:bookmarkStart w:id="88" w:name="_Toc5564"/>
      <w:bookmarkStart w:id="89" w:name="_Toc8690"/>
      <w:bookmarkStart w:id="90" w:name="_Toc12990"/>
      <w:bookmarkStart w:id="91" w:name="_Toc106700757"/>
      <w:bookmarkStart w:id="92" w:name="_Toc102639013"/>
      <w:r>
        <w:rPr>
          <w:rFonts w:hint="eastAsia" w:ascii="Times New Roman" w:hAnsi="Times New Roman" w:eastAsia="黑体"/>
          <w:color w:val="auto"/>
          <w:sz w:val="21"/>
        </w:rPr>
        <w:t>术语与定义</w:t>
      </w:r>
      <w:bookmarkEnd w:id="83"/>
      <w:bookmarkEnd w:id="84"/>
      <w:bookmarkEnd w:id="85"/>
      <w:bookmarkEnd w:id="86"/>
      <w:bookmarkEnd w:id="87"/>
      <w:bookmarkEnd w:id="88"/>
      <w:bookmarkEnd w:id="89"/>
      <w:bookmarkEnd w:id="90"/>
      <w:bookmarkEnd w:id="91"/>
      <w:bookmarkEnd w:id="92"/>
    </w:p>
    <w:p w14:paraId="3B063EFB">
      <w:pPr>
        <w:pageBreakBefore w:val="0"/>
        <w:widowControl/>
        <w:kinsoku/>
        <w:wordWrap/>
        <w:overflowPunct/>
        <w:topLinePunct w:val="0"/>
        <w:bidi w:val="0"/>
        <w:adjustRightInd w:val="0"/>
        <w:snapToGrid w:val="0"/>
        <w:spacing w:beforeLines="0" w:afterLines="0"/>
        <w:jc w:val="both"/>
        <w:textAlignment w:val="auto"/>
        <w:rPr>
          <w:rFonts w:ascii="Times New Roman" w:hAnsi="Times New Roman" w:eastAsia="宋体"/>
          <w:color w:val="auto"/>
          <w:szCs w:val="24"/>
          <w:lang w:bidi="ar"/>
        </w:rPr>
      </w:pPr>
      <w:r>
        <w:rPr>
          <w:rFonts w:hint="eastAsia" w:ascii="Times New Roman" w:hAnsi="Times New Roman" w:eastAsia="宋体"/>
          <w:color w:val="auto"/>
          <w:sz w:val="21"/>
          <w:szCs w:val="24"/>
          <w:lang w:bidi="ar"/>
        </w:rPr>
        <w:t>下列术语和定义适用于本文件。</w:t>
      </w:r>
    </w:p>
    <w:p w14:paraId="48003674">
      <w:pPr>
        <w:keepNext/>
        <w:keepLines/>
        <w:pageBreakBefore w:val="0"/>
        <w:numPr>
          <w:ilvl w:val="2"/>
          <w:numId w:val="1"/>
        </w:numPr>
        <w:kinsoku/>
        <w:wordWrap/>
        <w:overflowPunct/>
        <w:topLinePunct w:val="0"/>
        <w:bidi w:val="0"/>
        <w:adjustRightInd w:val="0"/>
        <w:snapToGrid w:val="0"/>
        <w:spacing w:before="0" w:beforeLines="0" w:after="0" w:afterLines="0"/>
        <w:ind w:firstLineChars="0"/>
        <w:textAlignment w:val="auto"/>
        <w:outlineLvl w:val="1"/>
        <w:rPr>
          <w:rFonts w:ascii="黑体" w:hAnsi="黑体" w:eastAsia="黑体"/>
          <w:color w:val="auto"/>
          <w:sz w:val="21"/>
          <w:szCs w:val="21"/>
        </w:rPr>
      </w:pPr>
    </w:p>
    <w:p w14:paraId="4B4E123E">
      <w:pPr>
        <w:pStyle w:val="39"/>
        <w:pageBreakBefore w:val="0"/>
        <w:kinsoku/>
        <w:wordWrap/>
        <w:overflowPunct/>
        <w:topLinePunct w:val="0"/>
        <w:bidi w:val="0"/>
        <w:adjustRightInd w:val="0"/>
        <w:snapToGrid w:val="0"/>
        <w:spacing w:beforeLines="0" w:afterLines="0"/>
        <w:ind w:firstLine="420"/>
        <w:textAlignment w:val="auto"/>
        <w:rPr>
          <w:rFonts w:ascii="黑体" w:hAnsi="黑体" w:eastAsia="黑体"/>
          <w:color w:val="auto"/>
          <w:szCs w:val="21"/>
        </w:rPr>
      </w:pPr>
      <w:r>
        <w:rPr>
          <w:rFonts w:hint="eastAsia" w:ascii="黑体" w:hAnsi="黑体" w:eastAsia="黑体"/>
          <w:color w:val="auto"/>
          <w:szCs w:val="21"/>
          <w:lang w:eastAsia="zh-CN" w:bidi="ar"/>
        </w:rPr>
        <w:t>生态环境状况公报</w:t>
      </w:r>
      <w:r>
        <w:rPr>
          <w:rFonts w:ascii="黑体" w:hAnsi="黑体" w:eastAsia="黑体"/>
          <w:color w:val="auto"/>
          <w:szCs w:val="21"/>
          <w:lang w:bidi="ar"/>
        </w:rPr>
        <w:t xml:space="preserve">  </w:t>
      </w:r>
      <w:r>
        <w:rPr>
          <w:rFonts w:hint="eastAsia" w:ascii="黑体" w:hAnsi="黑体" w:eastAsia="黑体" w:cs="黑体"/>
          <w:color w:val="auto"/>
          <w:szCs w:val="21"/>
          <w:lang w:val="en-US" w:eastAsia="zh-CN" w:bidi="ar"/>
        </w:rPr>
        <w:t>report on the state of the ecology and environment</w:t>
      </w:r>
    </w:p>
    <w:p w14:paraId="79B0352D">
      <w:pPr>
        <w:pStyle w:val="39"/>
        <w:pageBreakBefore w:val="0"/>
        <w:kinsoku/>
        <w:wordWrap/>
        <w:overflowPunct/>
        <w:topLinePunct w:val="0"/>
        <w:bidi w:val="0"/>
        <w:adjustRightInd w:val="0"/>
        <w:snapToGrid w:val="0"/>
        <w:spacing w:beforeLines="0" w:afterLines="0"/>
        <w:ind w:firstLine="420"/>
        <w:textAlignment w:val="auto"/>
        <w:rPr>
          <w:rFonts w:ascii="Times New Roman" w:hAnsi="Times New Roman"/>
          <w:color w:val="auto"/>
          <w:szCs w:val="24"/>
          <w:lang w:bidi="ar"/>
        </w:rPr>
      </w:pPr>
      <w:r>
        <w:rPr>
          <w:rFonts w:hint="eastAsia" w:ascii="Times New Roman" w:hAnsi="Times New Roman"/>
          <w:color w:val="auto"/>
          <w:szCs w:val="24"/>
          <w:lang w:bidi="ar"/>
        </w:rPr>
        <w:t>生态环境</w:t>
      </w:r>
      <w:r>
        <w:rPr>
          <w:rFonts w:hint="eastAsia" w:ascii="Times New Roman"/>
          <w:color w:val="auto"/>
          <w:szCs w:val="24"/>
          <w:lang w:val="en-US" w:eastAsia="zh-CN" w:bidi="ar"/>
        </w:rPr>
        <w:t>主管</w:t>
      </w:r>
      <w:r>
        <w:rPr>
          <w:rFonts w:hint="eastAsia" w:ascii="Times New Roman" w:hAnsi="Times New Roman"/>
          <w:color w:val="auto"/>
          <w:szCs w:val="24"/>
          <w:lang w:bidi="ar"/>
        </w:rPr>
        <w:t>部门发布的，用于全面、客观反映特定区域（通常为国家或地区）在一定时期内生态环境质量状况、变化趋势以及生态环境保护工作进展和成效的公开年度报告。</w:t>
      </w:r>
    </w:p>
    <w:p w14:paraId="7D335566">
      <w:pPr>
        <w:pStyle w:val="38"/>
        <w:pageBreakBefore w:val="0"/>
        <w:numPr>
          <w:ilvl w:val="1"/>
          <w:numId w:val="1"/>
        </w:numPr>
        <w:kinsoku/>
        <w:wordWrap/>
        <w:overflowPunct/>
        <w:topLinePunct w:val="0"/>
        <w:bidi w:val="0"/>
        <w:adjustRightInd w:val="0"/>
        <w:snapToGrid w:val="0"/>
        <w:spacing w:before="387" w:after="387"/>
        <w:textAlignment w:val="auto"/>
        <w:rPr>
          <w:rFonts w:ascii="Times New Roman"/>
          <w:color w:val="auto"/>
        </w:rPr>
      </w:pPr>
      <w:bookmarkStart w:id="93" w:name="_Toc16910"/>
      <w:bookmarkStart w:id="94" w:name="_Toc106700758"/>
      <w:bookmarkStart w:id="95" w:name="_Toc7917"/>
      <w:bookmarkStart w:id="96" w:name="_Toc18823"/>
      <w:bookmarkStart w:id="97" w:name="_Toc5598"/>
      <w:bookmarkStart w:id="98" w:name="_Toc10466"/>
      <w:bookmarkStart w:id="99" w:name="_Toc3240"/>
      <w:bookmarkStart w:id="100" w:name="_Toc24942"/>
      <w:bookmarkStart w:id="101" w:name="_Toc102639014"/>
      <w:bookmarkStart w:id="102" w:name="_Toc30714"/>
      <w:r>
        <w:rPr>
          <w:rFonts w:hint="eastAsia" w:ascii="Times New Roman"/>
          <w:color w:val="auto"/>
          <w:lang w:eastAsia="zh-CN"/>
        </w:rPr>
        <w:t>基本</w:t>
      </w:r>
      <w:r>
        <w:rPr>
          <w:rFonts w:hint="eastAsia" w:ascii="Times New Roman"/>
          <w:color w:val="auto"/>
        </w:rPr>
        <w:t>要求</w:t>
      </w:r>
      <w:bookmarkEnd w:id="93"/>
      <w:bookmarkEnd w:id="94"/>
      <w:bookmarkEnd w:id="95"/>
      <w:bookmarkEnd w:id="96"/>
      <w:bookmarkEnd w:id="97"/>
      <w:bookmarkEnd w:id="98"/>
      <w:bookmarkEnd w:id="99"/>
      <w:bookmarkEnd w:id="100"/>
      <w:bookmarkEnd w:id="101"/>
      <w:bookmarkEnd w:id="102"/>
    </w:p>
    <w:p w14:paraId="68774D67">
      <w:pPr>
        <w:pStyle w:val="41"/>
        <w:keepNext w:val="0"/>
        <w:keepLines w:val="0"/>
        <w:pageBreakBefore w:val="0"/>
        <w:widowControl/>
        <w:numPr>
          <w:ilvl w:val="2"/>
          <w:numId w:val="1"/>
        </w:numPr>
        <w:kinsoku/>
        <w:wordWrap/>
        <w:overflowPunct/>
        <w:topLinePunct w:val="0"/>
        <w:autoSpaceDE/>
        <w:autoSpaceDN/>
        <w:bidi w:val="0"/>
        <w:adjustRightInd w:val="0"/>
        <w:snapToGrid w:val="0"/>
        <w:spacing w:before="0" w:beforeLines="0" w:after="0" w:afterLines="0"/>
        <w:ind w:left="567" w:hanging="567"/>
        <w:jc w:val="both"/>
        <w:textAlignment w:val="auto"/>
        <w:rPr>
          <w:rFonts w:hint="eastAsia" w:ascii="宋体" w:hAnsi="宋体" w:eastAsia="宋体" w:cs="宋体"/>
          <w:color w:val="auto"/>
        </w:rPr>
      </w:pPr>
      <w:r>
        <w:rPr>
          <w:rFonts w:hint="eastAsia" w:ascii="宋体" w:hAnsi="宋体" w:eastAsia="宋体" w:cs="宋体"/>
          <w:color w:val="auto"/>
          <w:lang w:eastAsia="zh-CN"/>
        </w:rPr>
        <w:t>生态环境</w:t>
      </w:r>
      <w:r>
        <w:rPr>
          <w:rFonts w:hint="eastAsia" w:ascii="宋体" w:hAnsi="宋体" w:eastAsia="宋体" w:cs="宋体"/>
          <w:color w:val="auto"/>
        </w:rPr>
        <w:t>状况公报</w:t>
      </w:r>
      <w:r>
        <w:rPr>
          <w:rFonts w:hint="eastAsia" w:ascii="宋体" w:hAnsi="宋体" w:eastAsia="宋体" w:cs="宋体"/>
          <w:color w:val="auto"/>
          <w:lang w:eastAsia="zh-CN"/>
        </w:rPr>
        <w:t>编制</w:t>
      </w:r>
      <w:r>
        <w:rPr>
          <w:rFonts w:hint="eastAsia" w:ascii="宋体" w:hAnsi="宋体" w:eastAsia="宋体" w:cs="宋体"/>
          <w:color w:val="auto"/>
        </w:rPr>
        <w:t>应遵循数据准确、分析科学、评价客观和通俗易懂的原则。</w:t>
      </w:r>
    </w:p>
    <w:p w14:paraId="6D0C2A65">
      <w:pPr>
        <w:pStyle w:val="41"/>
        <w:keepNext w:val="0"/>
        <w:keepLines w:val="0"/>
        <w:pageBreakBefore w:val="0"/>
        <w:widowControl/>
        <w:numPr>
          <w:ilvl w:val="2"/>
          <w:numId w:val="1"/>
        </w:numPr>
        <w:kinsoku/>
        <w:wordWrap/>
        <w:overflowPunct/>
        <w:topLinePunct w:val="0"/>
        <w:autoSpaceDE/>
        <w:autoSpaceDN/>
        <w:bidi w:val="0"/>
        <w:adjustRightInd w:val="0"/>
        <w:snapToGrid w:val="0"/>
        <w:spacing w:before="0" w:beforeLines="0" w:after="0" w:afterLines="0"/>
        <w:ind w:left="567" w:hanging="567"/>
        <w:jc w:val="both"/>
        <w:textAlignment w:val="auto"/>
        <w:rPr>
          <w:rFonts w:hint="eastAsia" w:ascii="宋体" w:hAnsi="宋体" w:eastAsia="宋体" w:cs="宋体"/>
          <w:color w:val="auto"/>
        </w:rPr>
      </w:pPr>
      <w:r>
        <w:rPr>
          <w:rFonts w:hint="eastAsia" w:ascii="宋体" w:hAnsi="宋体" w:eastAsia="宋体" w:cs="宋体"/>
          <w:color w:val="auto"/>
          <w:lang w:eastAsia="zh-CN"/>
        </w:rPr>
        <w:t>生态环境状况</w:t>
      </w:r>
      <w:r>
        <w:rPr>
          <w:rFonts w:hint="eastAsia" w:ascii="宋体" w:hAnsi="宋体" w:eastAsia="宋体" w:cs="宋体"/>
          <w:color w:val="auto"/>
        </w:rPr>
        <w:t>公报编排宜由封面、目录、正文</w:t>
      </w:r>
      <w:r>
        <w:rPr>
          <w:rFonts w:hint="eastAsia" w:ascii="宋体" w:hAnsi="宋体" w:eastAsia="宋体" w:cs="宋体"/>
          <w:color w:val="auto"/>
          <w:lang w:eastAsia="zh-CN"/>
        </w:rPr>
        <w:t>、编写说明</w:t>
      </w:r>
      <w:r>
        <w:rPr>
          <w:rFonts w:hint="eastAsia" w:ascii="宋体" w:hAnsi="宋体" w:eastAsia="宋体" w:cs="宋体"/>
          <w:color w:val="auto"/>
        </w:rPr>
        <w:t>及封底构成。</w:t>
      </w:r>
    </w:p>
    <w:p w14:paraId="4DEE848C">
      <w:pPr>
        <w:pStyle w:val="41"/>
        <w:keepNext w:val="0"/>
        <w:keepLines w:val="0"/>
        <w:pageBreakBefore w:val="0"/>
        <w:widowControl/>
        <w:numPr>
          <w:ilvl w:val="2"/>
          <w:numId w:val="1"/>
        </w:numPr>
        <w:kinsoku/>
        <w:wordWrap/>
        <w:overflowPunct/>
        <w:topLinePunct w:val="0"/>
        <w:autoSpaceDE/>
        <w:autoSpaceDN/>
        <w:bidi w:val="0"/>
        <w:adjustRightInd w:val="0"/>
        <w:snapToGrid w:val="0"/>
        <w:spacing w:before="0" w:beforeLines="0" w:after="0" w:afterLines="0"/>
        <w:ind w:left="567" w:hanging="567"/>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生态环境状况公报正文宜由生态环境状况、措施与行动、大事记等部分组成。</w:t>
      </w:r>
    </w:p>
    <w:p w14:paraId="6B2613E2">
      <w:pPr>
        <w:pageBreakBefore w:val="0"/>
        <w:numPr>
          <w:ilvl w:val="1"/>
          <w:numId w:val="1"/>
        </w:numPr>
        <w:kinsoku/>
        <w:wordWrap/>
        <w:overflowPunct/>
        <w:topLinePunct w:val="0"/>
        <w:bidi w:val="0"/>
        <w:adjustRightInd w:val="0"/>
        <w:snapToGrid w:val="0"/>
        <w:spacing w:before="387" w:beforeLines="100" w:after="387" w:afterLines="100"/>
        <w:ind w:firstLineChars="0"/>
        <w:textAlignment w:val="auto"/>
        <w:outlineLvl w:val="0"/>
        <w:rPr>
          <w:rFonts w:hint="eastAsia" w:ascii="Times New Roman" w:hAnsi="Times New Roman" w:eastAsia="黑体"/>
          <w:color w:val="auto"/>
          <w:sz w:val="21"/>
          <w:lang w:val="en-US" w:eastAsia="zh-CN"/>
        </w:rPr>
      </w:pPr>
      <w:bookmarkStart w:id="103" w:name="_Toc30752"/>
      <w:bookmarkStart w:id="104" w:name="_Toc2191"/>
      <w:r>
        <w:rPr>
          <w:rFonts w:hint="eastAsia" w:ascii="Times New Roman" w:hAnsi="Times New Roman" w:eastAsia="黑体"/>
          <w:color w:val="auto"/>
          <w:sz w:val="21"/>
          <w:lang w:val="en-US" w:eastAsia="zh-CN"/>
        </w:rPr>
        <w:t>编制流程</w:t>
      </w:r>
      <w:bookmarkEnd w:id="103"/>
      <w:bookmarkEnd w:id="104"/>
    </w:p>
    <w:p w14:paraId="23334E6C">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编制流程图</w:t>
      </w:r>
    </w:p>
    <w:p w14:paraId="29873D3A">
      <w:pPr>
        <w:pStyle w:val="39"/>
        <w:pageBreakBefore w:val="0"/>
        <w:kinsoku/>
        <w:wordWrap/>
        <w:overflowPunct/>
        <w:topLinePunct w:val="0"/>
        <w:bidi w:val="0"/>
        <w:adjustRightInd w:val="0"/>
        <w:snapToGrid w:val="0"/>
        <w:ind w:left="0" w:leftChars="0" w:firstLine="420" w:firstLineChars="200"/>
        <w:textAlignment w:val="auto"/>
        <w:rPr>
          <w:rFonts w:hint="eastAsia"/>
          <w:lang w:val="en-US" w:eastAsia="zh-CN"/>
        </w:rPr>
      </w:pPr>
      <w:r>
        <w:rPr>
          <w:rFonts w:hint="eastAsia"/>
          <w:lang w:val="en-US" w:eastAsia="zh-CN"/>
        </w:rPr>
        <w:t>生态环境状况公报编制流程见图1。</w:t>
      </w:r>
    </w:p>
    <w:p w14:paraId="31AF2E19">
      <w:pPr>
        <w:pStyle w:val="39"/>
        <w:pageBreakBefore w:val="0"/>
        <w:kinsoku/>
        <w:wordWrap/>
        <w:overflowPunct/>
        <w:topLinePunct w:val="0"/>
        <w:bidi w:val="0"/>
        <w:adjustRightInd w:val="0"/>
        <w:snapToGrid w:val="0"/>
        <w:ind w:left="0" w:leftChars="0" w:firstLine="0" w:firstLineChars="0"/>
        <w:jc w:val="center"/>
        <w:textAlignment w:val="auto"/>
        <w:rPr>
          <w:rFonts w:hint="eastAsia"/>
          <w:lang w:val="en-US" w:eastAsia="zh-CN"/>
        </w:rPr>
      </w:pPr>
      <w:r>
        <w:rPr>
          <w:rFonts w:hint="eastAsia"/>
          <w:lang w:val="en-US" w:eastAsia="zh-CN"/>
        </w:rPr>
        <w:drawing>
          <wp:inline distT="0" distB="0" distL="114300" distR="114300">
            <wp:extent cx="2956560" cy="1428115"/>
            <wp:effectExtent l="0" t="0" r="15240" b="63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20"/>
                    <a:stretch>
                      <a:fillRect/>
                    </a:stretch>
                  </pic:blipFill>
                  <pic:spPr>
                    <a:xfrm>
                      <a:off x="0" y="0"/>
                      <a:ext cx="2956560" cy="1428115"/>
                    </a:xfrm>
                    <a:prstGeom prst="rect">
                      <a:avLst/>
                    </a:prstGeom>
                  </pic:spPr>
                </pic:pic>
              </a:graphicData>
            </a:graphic>
          </wp:inline>
        </w:drawing>
      </w:r>
    </w:p>
    <w:p w14:paraId="7E9D06B3">
      <w:pPr>
        <w:pStyle w:val="39"/>
        <w:keepNext w:val="0"/>
        <w:keepLines w:val="0"/>
        <w:pageBreakBefore w:val="0"/>
        <w:widowControl/>
        <w:kinsoku/>
        <w:wordWrap/>
        <w:overflowPunct/>
        <w:topLinePunct w:val="0"/>
        <w:autoSpaceDE w:val="0"/>
        <w:autoSpaceDN w:val="0"/>
        <w:bidi w:val="0"/>
        <w:adjustRightInd w:val="0"/>
        <w:snapToGrid w:val="0"/>
        <w:spacing w:before="195" w:beforeLines="50" w:after="195" w:afterLines="50"/>
        <w:ind w:left="0" w:leftChars="0" w:firstLine="0" w:firstLineChars="0"/>
        <w:jc w:val="center"/>
        <w:textAlignment w:val="auto"/>
        <w:rPr>
          <w:rFonts w:hint="eastAsia" w:ascii="黑体" w:hAnsi="黑体" w:eastAsia="黑体" w:cs="黑体"/>
          <w:lang w:val="en-US" w:eastAsia="zh-CN"/>
        </w:rPr>
      </w:pPr>
      <w:r>
        <w:rPr>
          <w:rFonts w:hint="eastAsia" w:ascii="黑体" w:hAnsi="黑体" w:eastAsia="黑体" w:cs="黑体"/>
          <w:lang w:val="en-US" w:eastAsia="zh-CN"/>
        </w:rPr>
        <w:t>图1  生态环境状况公报编制流程图</w:t>
      </w:r>
    </w:p>
    <w:p w14:paraId="7F0EBA3B">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收集资料</w:t>
      </w:r>
    </w:p>
    <w:p w14:paraId="1027CD91">
      <w:pPr>
        <w:pStyle w:val="41"/>
        <w:keepNext w:val="0"/>
        <w:keepLines w:val="0"/>
        <w:pageBreakBefore w:val="0"/>
        <w:widowControl w:val="0"/>
        <w:numPr>
          <w:ilvl w:val="-1"/>
          <w:numId w:val="0"/>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420" w:firstLineChars="200"/>
        <w:jc w:val="both"/>
        <w:textAlignment w:val="auto"/>
        <w:outlineLvl w:val="9"/>
        <w:rPr>
          <w:rFonts w:hint="default" w:ascii="宋体" w:hAnsi="宋体" w:eastAsia="宋体"/>
          <w:color w:val="auto"/>
          <w:kern w:val="2"/>
          <w:szCs w:val="24"/>
          <w:lang w:val="en-US" w:eastAsia="zh-CN"/>
        </w:rPr>
      </w:pPr>
      <w:r>
        <w:rPr>
          <w:rFonts w:hint="eastAsia" w:ascii="宋体" w:hAnsi="宋体" w:eastAsia="宋体"/>
          <w:color w:val="auto"/>
          <w:kern w:val="2"/>
          <w:szCs w:val="24"/>
          <w:lang w:val="en-US" w:eastAsia="zh-CN"/>
        </w:rPr>
        <w:t>生态环境状况公报收集资料要求如下：</w:t>
      </w:r>
    </w:p>
    <w:p w14:paraId="020F9FD2">
      <w:pPr>
        <w:keepNext w:val="0"/>
        <w:keepLines w:val="0"/>
        <w:pageBreakBefore w:val="0"/>
        <w:widowControl w:val="0"/>
        <w:numPr>
          <w:ilvl w:val="0"/>
          <w:numId w:val="2"/>
        </w:numPr>
        <w:kinsoku/>
        <w:wordWrap/>
        <w:overflowPunct w:val="0"/>
        <w:topLinePunct w:val="0"/>
        <w:autoSpaceDE/>
        <w:autoSpaceDN/>
        <w:bidi w:val="0"/>
        <w:adjustRightInd w:val="0"/>
        <w:snapToGrid w:val="0"/>
        <w:spacing w:before="0" w:beforeLines="0" w:after="0" w:afterLines="0" w:line="280" w:lineRule="exact"/>
        <w:ind w:left="822" w:leftChars="0" w:right="0" w:rightChars="0" w:hanging="425" w:firstLineChars="0"/>
        <w:jc w:val="both"/>
        <w:textAlignment w:val="auto"/>
        <w:outlineLvl w:val="9"/>
        <w:rPr>
          <w:rFonts w:hint="eastAsia" w:ascii="宋体" w:hAnsi="宋体" w:eastAsia="宋体" w:cs="Times New Roman"/>
          <w:color w:val="000000"/>
          <w:kern w:val="2"/>
          <w:sz w:val="21"/>
          <w:szCs w:val="21"/>
          <w:lang w:eastAsia="zh-CN"/>
        </w:rPr>
      </w:pPr>
      <w:r>
        <w:rPr>
          <w:rFonts w:hint="eastAsia" w:ascii="宋体" w:hAnsi="宋体" w:eastAsia="宋体" w:cs="Times New Roman"/>
          <w:color w:val="000000"/>
          <w:kern w:val="2"/>
          <w:sz w:val="21"/>
          <w:szCs w:val="21"/>
          <w:lang w:val="en-US" w:eastAsia="zh-CN"/>
        </w:rPr>
        <w:t>宜</w:t>
      </w:r>
      <w:r>
        <w:rPr>
          <w:rFonts w:hint="eastAsia" w:ascii="宋体" w:hAnsi="宋体" w:eastAsia="宋体" w:cs="Times New Roman"/>
          <w:color w:val="000000"/>
          <w:kern w:val="2"/>
          <w:sz w:val="21"/>
          <w:szCs w:val="21"/>
          <w:lang w:eastAsia="zh-CN"/>
        </w:rPr>
        <w:t>向公报发布单位对应行政级别的生态环境、自然资源、住房和城乡建设、水利、农业农村、统计、林业等部门收集</w:t>
      </w:r>
      <w:r>
        <w:rPr>
          <w:rFonts w:hint="eastAsia" w:ascii="宋体" w:hAnsi="宋体" w:eastAsia="宋体" w:cs="Times New Roman"/>
          <w:color w:val="000000"/>
          <w:kern w:val="2"/>
          <w:sz w:val="21"/>
          <w:szCs w:val="21"/>
          <w:lang w:val="en-US" w:eastAsia="zh-CN"/>
        </w:rPr>
        <w:t>资料</w:t>
      </w:r>
      <w:r>
        <w:rPr>
          <w:rFonts w:hint="eastAsia" w:ascii="宋体" w:hAnsi="宋体" w:eastAsia="宋体" w:cs="Times New Roman"/>
          <w:color w:val="000000"/>
          <w:kern w:val="2"/>
          <w:sz w:val="21"/>
          <w:szCs w:val="21"/>
          <w:lang w:eastAsia="zh-CN"/>
        </w:rPr>
        <w:t>；</w:t>
      </w:r>
    </w:p>
    <w:p w14:paraId="4128999C">
      <w:pPr>
        <w:keepNext w:val="0"/>
        <w:keepLines w:val="0"/>
        <w:pageBreakBefore w:val="0"/>
        <w:widowControl w:val="0"/>
        <w:numPr>
          <w:ilvl w:val="0"/>
          <w:numId w:val="2"/>
        </w:numPr>
        <w:kinsoku/>
        <w:wordWrap/>
        <w:overflowPunct w:val="0"/>
        <w:topLinePunct w:val="0"/>
        <w:autoSpaceDE/>
        <w:autoSpaceDN/>
        <w:bidi w:val="0"/>
        <w:adjustRightInd w:val="0"/>
        <w:snapToGrid w:val="0"/>
        <w:spacing w:before="0" w:beforeLines="0" w:after="0" w:afterLines="0" w:line="280" w:lineRule="exact"/>
        <w:ind w:left="822" w:leftChars="0" w:right="0" w:rightChars="0" w:hanging="425" w:firstLineChars="0"/>
        <w:jc w:val="both"/>
        <w:textAlignment w:val="auto"/>
        <w:outlineLvl w:val="9"/>
        <w:rPr>
          <w:rFonts w:hint="eastAsia" w:ascii="宋体" w:hAnsi="宋体" w:eastAsia="宋体" w:cs="Times New Roman"/>
          <w:color w:val="000000"/>
          <w:kern w:val="2"/>
          <w:sz w:val="21"/>
          <w:szCs w:val="21"/>
          <w:lang w:eastAsia="zh-CN"/>
        </w:rPr>
      </w:pPr>
      <w:r>
        <w:rPr>
          <w:rFonts w:hint="eastAsia" w:ascii="宋体" w:hAnsi="宋体" w:eastAsia="宋体" w:cs="Times New Roman"/>
          <w:color w:val="000000"/>
          <w:kern w:val="2"/>
          <w:sz w:val="21"/>
          <w:szCs w:val="21"/>
          <w:lang w:val="en-US" w:eastAsia="zh-CN"/>
        </w:rPr>
        <w:t>应收集报告年度</w:t>
      </w:r>
      <w:r>
        <w:rPr>
          <w:rFonts w:hint="eastAsia" w:ascii="宋体" w:hAnsi="宋体" w:eastAsia="宋体" w:cs="Times New Roman"/>
          <w:color w:val="000000"/>
          <w:kern w:val="2"/>
          <w:sz w:val="21"/>
          <w:szCs w:val="21"/>
          <w:lang w:eastAsia="zh-CN"/>
        </w:rPr>
        <w:t>大气环境、地表水环境、海洋环境、自然生态、声环境、辐射环境、应对气候变化等相关信息；</w:t>
      </w:r>
    </w:p>
    <w:p w14:paraId="23D57F60">
      <w:pPr>
        <w:keepNext w:val="0"/>
        <w:keepLines w:val="0"/>
        <w:pageBreakBefore w:val="0"/>
        <w:widowControl w:val="0"/>
        <w:numPr>
          <w:ilvl w:val="0"/>
          <w:numId w:val="2"/>
        </w:numPr>
        <w:kinsoku/>
        <w:wordWrap/>
        <w:overflowPunct w:val="0"/>
        <w:topLinePunct w:val="0"/>
        <w:autoSpaceDE/>
        <w:autoSpaceDN/>
        <w:bidi w:val="0"/>
        <w:adjustRightInd w:val="0"/>
        <w:snapToGrid w:val="0"/>
        <w:spacing w:before="0" w:beforeLines="0" w:after="0" w:afterLines="0" w:line="280" w:lineRule="exact"/>
        <w:ind w:left="822" w:leftChars="0" w:right="0" w:rightChars="0" w:hanging="425" w:firstLineChars="0"/>
        <w:jc w:val="both"/>
        <w:textAlignment w:val="auto"/>
        <w:outlineLvl w:val="9"/>
        <w:rPr>
          <w:rFonts w:hint="eastAsia" w:ascii="宋体" w:hAnsi="宋体" w:eastAsia="宋体" w:cs="Times New Roman"/>
          <w:color w:val="000000"/>
          <w:kern w:val="2"/>
          <w:sz w:val="21"/>
          <w:szCs w:val="21"/>
        </w:rPr>
      </w:pPr>
      <w:r>
        <w:rPr>
          <w:rFonts w:hint="eastAsia" w:ascii="宋体" w:hAnsi="宋体" w:eastAsia="宋体" w:cs="Times New Roman"/>
          <w:color w:val="000000"/>
          <w:kern w:val="2"/>
          <w:sz w:val="21"/>
          <w:szCs w:val="21"/>
          <w:lang w:val="en-US" w:eastAsia="zh-CN"/>
        </w:rPr>
        <w:t>应收集</w:t>
      </w:r>
      <w:r>
        <w:rPr>
          <w:rFonts w:hint="eastAsia" w:ascii="宋体" w:hAnsi="宋体" w:eastAsia="宋体" w:cs="Times New Roman"/>
          <w:color w:val="000000"/>
          <w:kern w:val="2"/>
          <w:sz w:val="21"/>
          <w:szCs w:val="21"/>
          <w:lang w:val="en-US" w:eastAsia="zh-CN" w:bidi="ar-SA"/>
        </w:rPr>
        <w:t>为改善生态环境质量和解决环境问题所采取的涉生态环境保护相关工作开展情况的资料；</w:t>
      </w:r>
    </w:p>
    <w:p w14:paraId="61D20FC3">
      <w:pPr>
        <w:keepNext w:val="0"/>
        <w:keepLines w:val="0"/>
        <w:pageBreakBefore w:val="0"/>
        <w:widowControl w:val="0"/>
        <w:numPr>
          <w:ilvl w:val="0"/>
          <w:numId w:val="2"/>
        </w:numPr>
        <w:kinsoku/>
        <w:wordWrap/>
        <w:overflowPunct w:val="0"/>
        <w:topLinePunct w:val="0"/>
        <w:autoSpaceDE/>
        <w:autoSpaceDN/>
        <w:bidi w:val="0"/>
        <w:adjustRightInd w:val="0"/>
        <w:snapToGrid w:val="0"/>
        <w:spacing w:before="0" w:beforeLines="0" w:after="0" w:afterLines="0" w:line="280" w:lineRule="exact"/>
        <w:ind w:left="822" w:leftChars="0" w:right="0" w:rightChars="0" w:hanging="425" w:firstLineChars="0"/>
        <w:jc w:val="both"/>
        <w:textAlignment w:val="auto"/>
        <w:outlineLvl w:val="9"/>
        <w:rPr>
          <w:rFonts w:hint="eastAsia" w:ascii="宋体" w:hAnsi="宋体" w:eastAsia="宋体" w:cs="Times New Roman"/>
          <w:color w:val="000000"/>
          <w:kern w:val="2"/>
          <w:sz w:val="21"/>
          <w:szCs w:val="21"/>
        </w:rPr>
      </w:pPr>
      <w:r>
        <w:rPr>
          <w:rFonts w:hint="eastAsia" w:ascii="宋体" w:hAnsi="宋体" w:eastAsia="宋体" w:cs="Times New Roman"/>
          <w:color w:val="000000"/>
          <w:kern w:val="2"/>
          <w:sz w:val="21"/>
          <w:szCs w:val="21"/>
          <w:lang w:val="en-US" w:eastAsia="zh-CN"/>
        </w:rPr>
        <w:t>收集的</w:t>
      </w:r>
      <w:r>
        <w:rPr>
          <w:rFonts w:hint="eastAsia" w:ascii="宋体" w:hAnsi="宋体" w:eastAsia="宋体" w:cs="Times New Roman"/>
          <w:color w:val="000000"/>
          <w:kern w:val="2"/>
          <w:sz w:val="21"/>
          <w:szCs w:val="21"/>
        </w:rPr>
        <w:t>数据</w:t>
      </w:r>
      <w:r>
        <w:rPr>
          <w:rFonts w:hint="eastAsia" w:ascii="宋体" w:hAnsi="宋体" w:eastAsia="宋体" w:cs="Times New Roman"/>
          <w:color w:val="000000"/>
          <w:kern w:val="2"/>
          <w:sz w:val="21"/>
          <w:szCs w:val="21"/>
          <w:lang w:val="en-US" w:eastAsia="zh-CN"/>
        </w:rPr>
        <w:t>材料应</w:t>
      </w:r>
      <w:r>
        <w:rPr>
          <w:rFonts w:hint="eastAsia" w:ascii="宋体" w:hAnsi="宋体" w:eastAsia="宋体" w:cs="Times New Roman"/>
          <w:color w:val="000000"/>
          <w:kern w:val="2"/>
          <w:sz w:val="21"/>
          <w:szCs w:val="21"/>
        </w:rPr>
        <w:t>真实、准确、完整，</w:t>
      </w:r>
      <w:r>
        <w:rPr>
          <w:rFonts w:hint="eastAsia" w:ascii="宋体" w:hAnsi="宋体" w:eastAsia="宋体" w:cs="Times New Roman"/>
          <w:color w:val="000000"/>
          <w:kern w:val="2"/>
          <w:sz w:val="21"/>
          <w:szCs w:val="21"/>
          <w:lang w:val="en-US" w:eastAsia="zh-CN"/>
        </w:rPr>
        <w:t>并注明</w:t>
      </w:r>
      <w:r>
        <w:rPr>
          <w:rFonts w:hint="eastAsia" w:ascii="宋体" w:hAnsi="宋体" w:eastAsia="宋体" w:cs="Times New Roman"/>
          <w:color w:val="000000"/>
          <w:kern w:val="2"/>
          <w:sz w:val="21"/>
          <w:szCs w:val="21"/>
        </w:rPr>
        <w:t>数据来源</w:t>
      </w:r>
      <w:r>
        <w:rPr>
          <w:rFonts w:hint="eastAsia" w:ascii="宋体" w:hAnsi="宋体" w:eastAsia="宋体" w:cs="Times New Roman"/>
          <w:color w:val="000000"/>
          <w:kern w:val="2"/>
          <w:sz w:val="21"/>
          <w:szCs w:val="21"/>
          <w:lang w:eastAsia="zh-CN"/>
        </w:rPr>
        <w:t>。</w:t>
      </w:r>
    </w:p>
    <w:p w14:paraId="271C118F">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汇总编辑</w:t>
      </w:r>
    </w:p>
    <w:p w14:paraId="45A0FB86">
      <w:pPr>
        <w:pStyle w:val="41"/>
        <w:widowControl/>
        <w:numPr>
          <w:ilvl w:val="3"/>
          <w:numId w:val="1"/>
        </w:numPr>
        <w:tabs>
          <w:tab w:val="left" w:pos="0"/>
        </w:tabs>
        <w:autoSpaceDE/>
        <w:autoSpaceDN/>
        <w:adjustRightInd w:val="0"/>
        <w:snapToGrid w:val="0"/>
        <w:spacing w:before="0" w:beforeLines="0" w:after="0" w:afterLines="0"/>
        <w:ind w:left="0" w:firstLine="0" w:firstLineChars="0"/>
        <w:jc w:val="both"/>
        <w:outlineLvl w:val="9"/>
        <w:rPr>
          <w:rFonts w:hint="eastAsia" w:ascii="宋体" w:hAnsi="宋体" w:eastAsia="宋体"/>
          <w:color w:val="auto"/>
          <w:kern w:val="2"/>
          <w:szCs w:val="24"/>
          <w:lang w:eastAsia="zh-CN"/>
        </w:rPr>
      </w:pPr>
      <w:r>
        <w:rPr>
          <w:rFonts w:hint="eastAsia" w:ascii="宋体" w:hAnsi="宋体" w:eastAsia="宋体"/>
          <w:color w:val="auto"/>
          <w:kern w:val="2"/>
          <w:szCs w:val="24"/>
          <w:lang w:val="en-US" w:eastAsia="zh-CN"/>
        </w:rPr>
        <w:t>应对</w:t>
      </w:r>
      <w:r>
        <w:rPr>
          <w:rFonts w:hint="eastAsia" w:ascii="宋体" w:hAnsi="宋体" w:eastAsia="宋体"/>
          <w:color w:val="auto"/>
          <w:kern w:val="2"/>
          <w:szCs w:val="24"/>
          <w:lang w:eastAsia="zh-CN"/>
        </w:rPr>
        <w:t>收集的资料</w:t>
      </w:r>
      <w:r>
        <w:rPr>
          <w:rFonts w:hint="eastAsia" w:ascii="宋体" w:hAnsi="宋体" w:eastAsia="宋体" w:cs="Times New Roman"/>
          <w:i w:val="0"/>
          <w:iCs w:val="0"/>
          <w:caps w:val="0"/>
          <w:color w:val="auto"/>
          <w:spacing w:val="0"/>
          <w:kern w:val="2"/>
          <w:sz w:val="21"/>
          <w:szCs w:val="24"/>
          <w:shd w:val="clear" w:fill="auto"/>
          <w:lang w:val="en-US" w:eastAsia="zh-CN"/>
        </w:rPr>
        <w:t>进行</w:t>
      </w:r>
      <w:r>
        <w:rPr>
          <w:rFonts w:hint="eastAsia" w:ascii="宋体" w:hAnsi="宋体" w:eastAsia="宋体"/>
          <w:color w:val="auto"/>
          <w:kern w:val="2"/>
          <w:szCs w:val="24"/>
        </w:rPr>
        <w:t>分类</w:t>
      </w:r>
      <w:r>
        <w:rPr>
          <w:rFonts w:hint="eastAsia" w:ascii="宋体" w:hAnsi="宋体" w:eastAsia="宋体"/>
          <w:color w:val="auto"/>
          <w:kern w:val="2"/>
          <w:szCs w:val="24"/>
          <w:lang w:val="en-US" w:eastAsia="zh-CN"/>
        </w:rPr>
        <w:t>汇总</w:t>
      </w:r>
      <w:r>
        <w:rPr>
          <w:rFonts w:hint="eastAsia" w:ascii="宋体" w:hAnsi="宋体" w:eastAsia="宋体"/>
          <w:color w:val="auto"/>
          <w:kern w:val="2"/>
          <w:szCs w:val="24"/>
          <w:lang w:eastAsia="zh-CN"/>
        </w:rPr>
        <w:t>，</w:t>
      </w:r>
      <w:r>
        <w:rPr>
          <w:rFonts w:hint="eastAsia" w:ascii="宋体" w:hAnsi="宋体" w:eastAsia="宋体"/>
          <w:color w:val="auto"/>
          <w:kern w:val="2"/>
          <w:szCs w:val="24"/>
          <w:lang w:val="en-US" w:eastAsia="zh-CN"/>
        </w:rPr>
        <w:t>并</w:t>
      </w:r>
      <w:r>
        <w:rPr>
          <w:rFonts w:hint="eastAsia" w:ascii="宋体" w:hAnsi="宋体" w:eastAsia="宋体"/>
          <w:color w:val="auto"/>
          <w:kern w:val="2"/>
          <w:szCs w:val="24"/>
          <w:lang w:eastAsia="zh-CN"/>
        </w:rPr>
        <w:t>按照生态环境状况公报的体例进行文字、图、表的编辑，</w:t>
      </w:r>
      <w:r>
        <w:rPr>
          <w:rFonts w:hint="eastAsia" w:ascii="宋体" w:hAnsi="宋体" w:eastAsia="宋体"/>
          <w:color w:val="auto"/>
          <w:kern w:val="2"/>
          <w:szCs w:val="24"/>
        </w:rPr>
        <w:t>形成</w:t>
      </w:r>
      <w:r>
        <w:rPr>
          <w:rFonts w:hint="eastAsia" w:ascii="宋体" w:hAnsi="宋体" w:eastAsia="宋体"/>
          <w:color w:val="auto"/>
          <w:kern w:val="2"/>
          <w:szCs w:val="24"/>
          <w:lang w:eastAsia="zh-CN"/>
        </w:rPr>
        <w:t>公报</w:t>
      </w:r>
      <w:r>
        <w:rPr>
          <w:rFonts w:hint="eastAsia" w:ascii="宋体" w:hAnsi="宋体" w:eastAsia="宋体"/>
          <w:color w:val="auto"/>
          <w:kern w:val="2"/>
          <w:szCs w:val="24"/>
          <w:lang w:val="en-US" w:eastAsia="zh-CN"/>
        </w:rPr>
        <w:t>草稿</w:t>
      </w:r>
      <w:r>
        <w:rPr>
          <w:rFonts w:hint="eastAsia" w:ascii="宋体" w:hAnsi="宋体" w:eastAsia="宋体"/>
          <w:color w:val="auto"/>
          <w:kern w:val="2"/>
          <w:szCs w:val="24"/>
          <w:lang w:eastAsia="zh-CN"/>
        </w:rPr>
        <w:t>。</w:t>
      </w:r>
    </w:p>
    <w:p w14:paraId="147C3432">
      <w:pPr>
        <w:pStyle w:val="41"/>
        <w:widowControl/>
        <w:numPr>
          <w:ilvl w:val="3"/>
          <w:numId w:val="1"/>
        </w:numPr>
        <w:tabs>
          <w:tab w:val="left" w:pos="0"/>
        </w:tabs>
        <w:autoSpaceDE/>
        <w:autoSpaceDN/>
        <w:adjustRightInd w:val="0"/>
        <w:snapToGrid w:val="0"/>
        <w:spacing w:before="0" w:beforeLines="0" w:after="0" w:afterLines="0"/>
        <w:ind w:left="0" w:firstLine="0" w:firstLineChars="0"/>
        <w:jc w:val="both"/>
        <w:outlineLvl w:val="9"/>
        <w:rPr>
          <w:rFonts w:hint="eastAsia" w:ascii="宋体" w:hAnsi="宋体" w:eastAsia="宋体"/>
          <w:color w:val="auto"/>
          <w:kern w:val="2"/>
          <w:szCs w:val="24"/>
        </w:rPr>
      </w:pPr>
      <w:r>
        <w:rPr>
          <w:rFonts w:hint="eastAsia" w:ascii="宋体" w:hAnsi="宋体" w:eastAsia="宋体"/>
          <w:color w:val="auto"/>
          <w:kern w:val="2"/>
          <w:szCs w:val="24"/>
          <w:lang w:val="en-US" w:eastAsia="zh-CN"/>
        </w:rPr>
        <w:t>应</w:t>
      </w:r>
      <w:r>
        <w:rPr>
          <w:rFonts w:hint="eastAsia" w:ascii="宋体" w:hAnsi="宋体" w:eastAsia="宋体"/>
          <w:color w:val="auto"/>
          <w:kern w:val="2"/>
          <w:szCs w:val="24"/>
          <w:lang w:eastAsia="zh-CN"/>
        </w:rPr>
        <w:t>标注生态环境状况公报草稿中的文字、数据、图、表的缺失项</w:t>
      </w:r>
      <w:r>
        <w:rPr>
          <w:rFonts w:hint="eastAsia" w:ascii="宋体" w:hAnsi="宋体" w:eastAsia="宋体"/>
          <w:color w:val="auto"/>
          <w:kern w:val="2"/>
          <w:szCs w:val="24"/>
        </w:rPr>
        <w:t>，</w:t>
      </w:r>
      <w:r>
        <w:rPr>
          <w:rFonts w:hint="eastAsia" w:ascii="宋体" w:hAnsi="宋体" w:eastAsia="宋体"/>
          <w:color w:val="auto"/>
          <w:kern w:val="2"/>
          <w:szCs w:val="24"/>
          <w:lang w:val="en-US" w:eastAsia="zh-CN"/>
        </w:rPr>
        <w:t>及时通知相关单位补充资料。</w:t>
      </w:r>
    </w:p>
    <w:p w14:paraId="74A59BA1">
      <w:pPr>
        <w:pStyle w:val="41"/>
        <w:numPr>
          <w:ilvl w:val="3"/>
          <w:numId w:val="1"/>
        </w:numPr>
        <w:tabs>
          <w:tab w:val="left" w:pos="0"/>
        </w:tabs>
        <w:autoSpaceDE/>
        <w:autoSpaceDN/>
        <w:adjustRightInd w:val="0"/>
        <w:snapToGrid w:val="0"/>
        <w:spacing w:before="0" w:beforeLines="0" w:after="0" w:afterLines="0"/>
        <w:ind w:firstLine="0" w:firstLineChars="0"/>
        <w:jc w:val="both"/>
        <w:outlineLvl w:val="9"/>
        <w:rPr>
          <w:rFonts w:hint="eastAsia" w:ascii="宋体" w:hAnsi="宋体" w:eastAsia="宋体"/>
          <w:color w:val="auto"/>
          <w:kern w:val="2"/>
          <w:szCs w:val="24"/>
        </w:rPr>
      </w:pPr>
      <w:r>
        <w:rPr>
          <w:rFonts w:hint="eastAsia" w:ascii="宋体" w:hAnsi="宋体" w:eastAsia="宋体"/>
          <w:color w:val="auto"/>
          <w:kern w:val="2"/>
          <w:szCs w:val="24"/>
          <w:lang w:val="en-US" w:eastAsia="zh-CN"/>
        </w:rPr>
        <w:t>应</w:t>
      </w:r>
      <w:r>
        <w:rPr>
          <w:rFonts w:hint="eastAsia" w:ascii="宋体" w:hAnsi="宋体" w:eastAsia="宋体"/>
          <w:color w:val="auto"/>
          <w:kern w:val="2"/>
          <w:szCs w:val="24"/>
          <w:lang w:eastAsia="zh-CN"/>
        </w:rPr>
        <w:t>根据相关单位补充的资料</w:t>
      </w:r>
      <w:r>
        <w:rPr>
          <w:rFonts w:hint="eastAsia" w:ascii="宋体" w:hAnsi="宋体" w:eastAsia="宋体"/>
          <w:color w:val="auto"/>
          <w:kern w:val="2"/>
          <w:szCs w:val="24"/>
          <w:lang w:val="en-US" w:eastAsia="zh-CN"/>
        </w:rPr>
        <w:t>补充完善</w:t>
      </w:r>
      <w:r>
        <w:rPr>
          <w:rFonts w:hint="eastAsia" w:ascii="宋体" w:hAnsi="宋体" w:eastAsia="宋体"/>
          <w:color w:val="auto"/>
          <w:kern w:val="2"/>
          <w:szCs w:val="24"/>
          <w:lang w:eastAsia="zh-CN"/>
        </w:rPr>
        <w:t>生态环境状况公报草稿。</w:t>
      </w:r>
    </w:p>
    <w:p w14:paraId="274B04F1">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校对初审</w:t>
      </w:r>
    </w:p>
    <w:p w14:paraId="6C4675C6">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val="en-US" w:eastAsia="zh-CN"/>
        </w:rPr>
        <w:t>应对</w:t>
      </w:r>
      <w:r>
        <w:rPr>
          <w:rFonts w:hint="eastAsia" w:ascii="宋体" w:hAnsi="宋体" w:eastAsia="宋体"/>
          <w:color w:val="auto"/>
          <w:kern w:val="2"/>
          <w:szCs w:val="24"/>
          <w:lang w:eastAsia="zh-CN"/>
        </w:rPr>
        <w:t>生态环境状况公报草稿进行校对初审校对，初审范围包括生态环境状况公报草稿的文字、图、表及图题和表题等。</w:t>
      </w:r>
    </w:p>
    <w:p w14:paraId="35FE3590">
      <w:pPr>
        <w:pStyle w:val="41"/>
        <w:numPr>
          <w:ilvl w:val="3"/>
          <w:numId w:val="1"/>
        </w:numPr>
        <w:tabs>
          <w:tab w:val="left" w:pos="0"/>
        </w:tabs>
        <w:autoSpaceDE/>
        <w:autoSpaceDN/>
        <w:adjustRightInd w:val="0"/>
        <w:snapToGrid w:val="0"/>
        <w:spacing w:before="0" w:beforeLines="0" w:after="0" w:afterLines="0"/>
        <w:ind w:firstLine="0" w:firstLineChars="0"/>
        <w:jc w:val="both"/>
        <w:outlineLvl w:val="9"/>
        <w:rPr>
          <w:rFonts w:hint="eastAsia" w:ascii="宋体" w:hAnsi="宋体" w:eastAsia="宋体"/>
          <w:color w:val="auto"/>
          <w:kern w:val="2"/>
          <w:szCs w:val="24"/>
        </w:rPr>
      </w:pPr>
      <w:r>
        <w:rPr>
          <w:rFonts w:hint="eastAsia" w:ascii="宋体" w:hAnsi="宋体" w:eastAsia="宋体"/>
          <w:color w:val="auto"/>
          <w:kern w:val="2"/>
          <w:szCs w:val="24"/>
          <w:lang w:val="en-US" w:eastAsia="zh-CN"/>
        </w:rPr>
        <w:t>初审</w:t>
      </w:r>
      <w:r>
        <w:rPr>
          <w:rFonts w:hint="eastAsia" w:ascii="宋体" w:hAnsi="宋体" w:eastAsia="宋体"/>
          <w:color w:val="auto"/>
          <w:kern w:val="2"/>
          <w:szCs w:val="24"/>
        </w:rPr>
        <w:t>过程中</w:t>
      </w:r>
      <w:r>
        <w:rPr>
          <w:rFonts w:hint="eastAsia" w:ascii="宋体" w:hAnsi="宋体" w:eastAsia="宋体"/>
          <w:color w:val="auto"/>
          <w:kern w:val="2"/>
          <w:szCs w:val="24"/>
          <w:lang w:val="en-US" w:eastAsia="zh-CN"/>
        </w:rPr>
        <w:t>应重点</w:t>
      </w:r>
      <w:r>
        <w:rPr>
          <w:rFonts w:hint="eastAsia" w:ascii="宋体" w:hAnsi="宋体" w:eastAsia="宋体"/>
          <w:color w:val="auto"/>
          <w:kern w:val="2"/>
          <w:szCs w:val="24"/>
        </w:rPr>
        <w:t>规范术语表述，统一</w:t>
      </w:r>
      <w:r>
        <w:rPr>
          <w:rFonts w:hint="eastAsia" w:ascii="宋体" w:hAnsi="宋体" w:eastAsia="宋体"/>
          <w:color w:val="auto"/>
          <w:kern w:val="2"/>
          <w:szCs w:val="24"/>
          <w:lang w:eastAsia="zh-CN"/>
        </w:rPr>
        <w:t>生态环境的专业</w:t>
      </w:r>
      <w:r>
        <w:rPr>
          <w:rFonts w:hint="eastAsia" w:ascii="宋体" w:hAnsi="宋体" w:eastAsia="宋体"/>
          <w:color w:val="auto"/>
          <w:kern w:val="2"/>
          <w:szCs w:val="24"/>
        </w:rPr>
        <w:t>名称、单位及统计口径，确保</w:t>
      </w:r>
      <w:r>
        <w:rPr>
          <w:rFonts w:hint="eastAsia" w:ascii="宋体" w:hAnsi="宋体" w:eastAsia="宋体"/>
          <w:color w:val="auto"/>
          <w:kern w:val="2"/>
          <w:szCs w:val="24"/>
          <w:lang w:eastAsia="zh-CN"/>
        </w:rPr>
        <w:t>生态环境状况公报草稿</w:t>
      </w:r>
      <w:r>
        <w:rPr>
          <w:rFonts w:hint="eastAsia" w:ascii="宋体" w:hAnsi="宋体" w:eastAsia="宋体"/>
          <w:color w:val="auto"/>
          <w:kern w:val="2"/>
          <w:szCs w:val="24"/>
        </w:rPr>
        <w:t>文</w:t>
      </w:r>
      <w:r>
        <w:rPr>
          <w:rFonts w:hint="eastAsia" w:ascii="宋体" w:hAnsi="宋体" w:eastAsia="宋体"/>
          <w:color w:val="auto"/>
          <w:kern w:val="2"/>
          <w:szCs w:val="24"/>
          <w:lang w:eastAsia="zh-CN"/>
        </w:rPr>
        <w:t>字精练、结论严谨</w:t>
      </w:r>
      <w:r>
        <w:rPr>
          <w:rFonts w:hint="eastAsia" w:ascii="宋体" w:hAnsi="宋体" w:eastAsia="宋体"/>
          <w:color w:val="auto"/>
          <w:kern w:val="2"/>
          <w:szCs w:val="24"/>
        </w:rPr>
        <w:t>，图</w:t>
      </w:r>
      <w:r>
        <w:rPr>
          <w:rFonts w:hint="eastAsia" w:ascii="宋体" w:hAnsi="宋体" w:eastAsia="宋体"/>
          <w:color w:val="auto"/>
          <w:kern w:val="2"/>
          <w:szCs w:val="24"/>
          <w:lang w:eastAsia="zh-CN"/>
        </w:rPr>
        <w:t>、</w:t>
      </w:r>
      <w:r>
        <w:rPr>
          <w:rFonts w:hint="eastAsia" w:ascii="宋体" w:hAnsi="宋体" w:eastAsia="宋体"/>
          <w:color w:val="auto"/>
          <w:kern w:val="2"/>
          <w:szCs w:val="24"/>
        </w:rPr>
        <w:t>表</w:t>
      </w:r>
      <w:r>
        <w:rPr>
          <w:rFonts w:hint="eastAsia" w:ascii="宋体" w:hAnsi="宋体" w:eastAsia="宋体"/>
          <w:color w:val="auto"/>
          <w:kern w:val="2"/>
          <w:szCs w:val="24"/>
          <w:lang w:eastAsia="zh-CN"/>
        </w:rPr>
        <w:t>展示的</w:t>
      </w:r>
      <w:r>
        <w:rPr>
          <w:rFonts w:hint="eastAsia" w:ascii="宋体" w:hAnsi="宋体" w:eastAsia="宋体"/>
          <w:color w:val="auto"/>
          <w:kern w:val="2"/>
          <w:szCs w:val="24"/>
        </w:rPr>
        <w:t>数据与正文一致。</w:t>
      </w:r>
    </w:p>
    <w:p w14:paraId="6EF53F1E">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排版制作</w:t>
      </w:r>
    </w:p>
    <w:p w14:paraId="5A8CD77F">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val="en-US" w:eastAsia="zh-CN"/>
        </w:rPr>
        <w:t>应</w:t>
      </w:r>
      <w:r>
        <w:rPr>
          <w:rFonts w:hint="eastAsia" w:ascii="宋体" w:hAnsi="宋体" w:eastAsia="宋体"/>
          <w:color w:val="auto"/>
          <w:kern w:val="2"/>
          <w:szCs w:val="24"/>
          <w:lang w:eastAsia="zh-CN"/>
        </w:rPr>
        <w:t>将初审通过的生态环境状况公报草稿中分散的各部分文字、图、表等进行统一排版制作。</w:t>
      </w:r>
    </w:p>
    <w:p w14:paraId="567A8EB6">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rPr>
      </w:pPr>
      <w:r>
        <w:rPr>
          <w:rFonts w:hint="eastAsia" w:ascii="宋体" w:hAnsi="宋体" w:eastAsia="宋体"/>
          <w:color w:val="auto"/>
          <w:kern w:val="2"/>
          <w:szCs w:val="24"/>
          <w:lang w:eastAsia="zh-CN"/>
        </w:rPr>
        <w:t>生态环境状况公报的版式设计应疏密得当，留白页少，字体、字号选择要既能区别结构层次，又有较好的视觉效果。</w:t>
      </w:r>
    </w:p>
    <w:p w14:paraId="0BB34AC3">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公报复审</w:t>
      </w:r>
    </w:p>
    <w:p w14:paraId="3494DA72">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eastAsia="zh-CN"/>
        </w:rPr>
        <w:t>生态环境状况初稿排版制好</w:t>
      </w:r>
      <w:r>
        <w:rPr>
          <w:rFonts w:hint="eastAsia" w:ascii="宋体" w:hAnsi="宋体" w:eastAsia="宋体"/>
          <w:color w:val="auto"/>
          <w:kern w:val="2"/>
          <w:szCs w:val="24"/>
          <w:lang w:val="en-US" w:eastAsia="zh-CN"/>
        </w:rPr>
        <w:t>后应</w:t>
      </w:r>
      <w:r>
        <w:rPr>
          <w:rFonts w:hint="eastAsia" w:ascii="宋体" w:hAnsi="宋体" w:eastAsia="宋体"/>
          <w:color w:val="auto"/>
          <w:kern w:val="2"/>
          <w:szCs w:val="24"/>
          <w:lang w:eastAsia="zh-CN"/>
        </w:rPr>
        <w:t>交发布单位复审。</w:t>
      </w:r>
    </w:p>
    <w:p w14:paraId="46538344">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eastAsia="zh-CN"/>
        </w:rPr>
        <w:t>准确记录发布单位复审提出的修改意见和建议，如对修改意见和建议中不清楚需要和发布单位确认准确。</w:t>
      </w:r>
    </w:p>
    <w:p w14:paraId="2266FECA">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修改完善</w:t>
      </w:r>
    </w:p>
    <w:p w14:paraId="1C237237">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val="en-US" w:eastAsia="zh-CN"/>
        </w:rPr>
        <w:t>应</w:t>
      </w:r>
      <w:r>
        <w:rPr>
          <w:rFonts w:hint="eastAsia" w:ascii="宋体" w:hAnsi="宋体" w:eastAsia="宋体"/>
          <w:color w:val="auto"/>
          <w:kern w:val="2"/>
          <w:szCs w:val="24"/>
          <w:lang w:eastAsia="zh-CN"/>
        </w:rPr>
        <w:t>根据发布单位复审提出的意见和建议修改完善生态环境状况公报形成公报二稿。</w:t>
      </w:r>
    </w:p>
    <w:p w14:paraId="1B987E4B">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rPr>
      </w:pPr>
      <w:r>
        <w:rPr>
          <w:rFonts w:hint="eastAsia" w:ascii="宋体" w:hAnsi="宋体" w:eastAsia="宋体"/>
          <w:color w:val="auto"/>
          <w:kern w:val="2"/>
          <w:szCs w:val="24"/>
          <w:lang w:eastAsia="zh-CN"/>
        </w:rPr>
        <w:t>修改</w:t>
      </w:r>
      <w:r>
        <w:rPr>
          <w:rFonts w:hint="eastAsia" w:ascii="宋体" w:hAnsi="宋体" w:eastAsia="宋体"/>
          <w:color w:val="auto"/>
          <w:kern w:val="2"/>
          <w:szCs w:val="24"/>
          <w:lang w:val="en-US" w:eastAsia="zh-CN"/>
        </w:rPr>
        <w:t>应</w:t>
      </w:r>
      <w:r>
        <w:rPr>
          <w:rFonts w:hint="eastAsia" w:ascii="宋体" w:hAnsi="宋体" w:eastAsia="宋体"/>
          <w:color w:val="auto"/>
          <w:kern w:val="2"/>
          <w:szCs w:val="24"/>
          <w:lang w:eastAsia="zh-CN"/>
        </w:rPr>
        <w:t>保持内容准确、版式设计规范，新增或修改的文字、图、表</w:t>
      </w:r>
      <w:r>
        <w:rPr>
          <w:rFonts w:hint="eastAsia" w:ascii="宋体" w:hAnsi="宋体" w:eastAsia="宋体"/>
          <w:color w:val="auto"/>
          <w:kern w:val="2"/>
          <w:szCs w:val="24"/>
          <w:lang w:val="en-US" w:eastAsia="zh-CN"/>
        </w:rPr>
        <w:t>应</w:t>
      </w:r>
      <w:r>
        <w:rPr>
          <w:rFonts w:hint="eastAsia" w:ascii="宋体" w:hAnsi="宋体" w:eastAsia="宋体"/>
          <w:color w:val="auto"/>
          <w:kern w:val="2"/>
          <w:szCs w:val="24"/>
          <w:lang w:eastAsia="zh-CN"/>
        </w:rPr>
        <w:t>与生态环境状况公报初稿原有内容保持上下文一致。</w:t>
      </w:r>
    </w:p>
    <w:p w14:paraId="7F15BFF3">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公报终审</w:t>
      </w:r>
    </w:p>
    <w:p w14:paraId="7AAB1297">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val="en-US" w:eastAsia="zh-CN"/>
        </w:rPr>
        <w:t>应</w:t>
      </w:r>
      <w:r>
        <w:rPr>
          <w:rFonts w:hint="eastAsia" w:ascii="宋体" w:hAnsi="宋体" w:eastAsia="宋体"/>
          <w:color w:val="auto"/>
          <w:kern w:val="2"/>
          <w:szCs w:val="24"/>
          <w:lang w:eastAsia="zh-CN"/>
        </w:rPr>
        <w:t>将修改好的生态环境状况公报二稿报发布单位终审。</w:t>
      </w:r>
    </w:p>
    <w:p w14:paraId="59E00D9F">
      <w:pPr>
        <w:pStyle w:val="41"/>
        <w:numPr>
          <w:ilvl w:val="3"/>
          <w:numId w:val="1"/>
        </w:numPr>
        <w:tabs>
          <w:tab w:val="left" w:pos="0"/>
        </w:tabs>
        <w:autoSpaceDE/>
        <w:autoSpaceDN/>
        <w:adjustRightInd w:val="0"/>
        <w:snapToGrid w:val="0"/>
        <w:spacing w:beforeLines="0" w:afterLines="0"/>
        <w:ind w:firstLine="0" w:firstLineChars="0"/>
        <w:outlineLvl w:val="9"/>
        <w:rPr>
          <w:rFonts w:hint="eastAsia"/>
          <w:lang w:eastAsia="zh-CN"/>
        </w:rPr>
      </w:pPr>
      <w:r>
        <w:rPr>
          <w:rFonts w:hint="eastAsia" w:ascii="宋体" w:hAnsi="宋体" w:eastAsia="宋体"/>
          <w:color w:val="auto"/>
          <w:kern w:val="2"/>
          <w:szCs w:val="24"/>
          <w:lang w:val="en-US" w:eastAsia="zh-CN"/>
        </w:rPr>
        <w:t>应</w:t>
      </w:r>
      <w:r>
        <w:rPr>
          <w:rFonts w:hint="eastAsia" w:ascii="宋体" w:hAnsi="宋体" w:eastAsia="宋体"/>
          <w:color w:val="auto"/>
          <w:kern w:val="2"/>
          <w:szCs w:val="24"/>
          <w:lang w:eastAsia="zh-CN"/>
        </w:rPr>
        <w:t>提醒发布单位留意审核公报中有无涉及国家秘密的资料和不应对外公布的有关资料、数据，防止泄密。</w:t>
      </w:r>
    </w:p>
    <w:p w14:paraId="70E32FCC">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eastAsia="zh-CN"/>
        </w:rPr>
        <w:t>如发布单位审核通过即进入公报印刷流程。</w:t>
      </w:r>
    </w:p>
    <w:p w14:paraId="3422523D">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eastAsia="zh-CN"/>
        </w:rPr>
        <w:t>如发布单位审核提出新的修改意见和建议，需要再次修改完善后报发布单位审核。</w:t>
      </w:r>
    </w:p>
    <w:p w14:paraId="11633C61">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公报印刷</w:t>
      </w:r>
    </w:p>
    <w:p w14:paraId="0D3FA358">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eastAsia="zh-CN"/>
        </w:rPr>
        <w:t>将发布单位终审后定稿的生态环境状况公报进行印刷。</w:t>
      </w:r>
    </w:p>
    <w:p w14:paraId="3F603018">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Cs w:val="24"/>
          <w:lang w:eastAsia="zh-CN"/>
        </w:rPr>
        <w:t>生态环境状况公报印刷后，需要检查成品的印刷质量，确认无质量问题后交发布单位。</w:t>
      </w:r>
      <w:bookmarkStart w:id="140" w:name="_GoBack"/>
      <w:bookmarkEnd w:id="140"/>
    </w:p>
    <w:p w14:paraId="75927AE9">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对外发布</w:t>
      </w:r>
    </w:p>
    <w:p w14:paraId="6E1D0BD7">
      <w:pPr>
        <w:pStyle w:val="41"/>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before="0" w:beforeLines="0" w:after="0" w:afterLines="0"/>
        <w:ind w:left="0" w:leftChars="0" w:firstLine="420" w:firstLineChars="200"/>
        <w:jc w:val="both"/>
        <w:textAlignment w:val="auto"/>
        <w:outlineLvl w:val="9"/>
        <w:rPr>
          <w:rFonts w:hint="eastAsia" w:ascii="黑体" w:hAnsi="黑体" w:eastAsia="黑体" w:cs="黑体"/>
          <w:lang w:val="en-US" w:eastAsia="zh-CN"/>
        </w:rPr>
      </w:pPr>
      <w:r>
        <w:rPr>
          <w:rFonts w:hint="eastAsia" w:ascii="宋体" w:hAnsi="宋体" w:eastAsia="宋体"/>
          <w:color w:val="auto"/>
          <w:kern w:val="2"/>
          <w:szCs w:val="24"/>
          <w:lang w:eastAsia="zh-CN"/>
        </w:rPr>
        <w:t>发布单位根据工作需要择期对外发放纸质版的生态环境状况公报，</w:t>
      </w:r>
      <w:r>
        <w:rPr>
          <w:rFonts w:hint="eastAsia" w:ascii="宋体" w:hAnsi="宋体" w:eastAsia="宋体"/>
          <w:color w:val="auto"/>
          <w:kern w:val="2"/>
          <w:szCs w:val="24"/>
          <w:lang w:val="en-US" w:eastAsia="zh-CN"/>
        </w:rPr>
        <w:t>并在</w:t>
      </w:r>
      <w:r>
        <w:rPr>
          <w:rFonts w:hint="eastAsia" w:ascii="宋体" w:hAnsi="宋体" w:eastAsia="宋体"/>
          <w:color w:val="auto"/>
          <w:kern w:val="2"/>
          <w:szCs w:val="24"/>
          <w:lang w:eastAsia="zh-CN"/>
        </w:rPr>
        <w:t>网上公开电子版的生态环境状况公报。</w:t>
      </w:r>
    </w:p>
    <w:p w14:paraId="7969E1DF">
      <w:pPr>
        <w:pStyle w:val="38"/>
        <w:pageBreakBefore w:val="0"/>
        <w:numPr>
          <w:ilvl w:val="1"/>
          <w:numId w:val="1"/>
        </w:numPr>
        <w:kinsoku/>
        <w:wordWrap/>
        <w:overflowPunct/>
        <w:topLinePunct w:val="0"/>
        <w:bidi w:val="0"/>
        <w:adjustRightInd w:val="0"/>
        <w:snapToGrid w:val="0"/>
        <w:spacing w:before="387" w:after="387"/>
        <w:textAlignment w:val="auto"/>
        <w:rPr>
          <w:rFonts w:ascii="Times New Roman"/>
          <w:color w:val="auto"/>
        </w:rPr>
      </w:pPr>
      <w:bookmarkStart w:id="105" w:name="_Toc5461"/>
      <w:bookmarkStart w:id="106" w:name="_Toc31414"/>
      <w:bookmarkStart w:id="107" w:name="_Toc6432"/>
      <w:bookmarkStart w:id="108" w:name="_Toc2134"/>
      <w:bookmarkStart w:id="109" w:name="_Toc27891"/>
      <w:bookmarkStart w:id="110" w:name="_Toc24731"/>
      <w:bookmarkStart w:id="111" w:name="_Toc22590"/>
      <w:bookmarkStart w:id="112" w:name="_Toc23206"/>
      <w:bookmarkStart w:id="113" w:name="_Toc530990960"/>
      <w:bookmarkStart w:id="114" w:name="_Toc530991252"/>
      <w:bookmarkStart w:id="115" w:name="_Toc7898278"/>
      <w:r>
        <w:rPr>
          <w:rFonts w:hint="eastAsia" w:ascii="Times New Roman"/>
          <w:color w:val="auto"/>
          <w:lang w:eastAsia="zh-CN"/>
        </w:rPr>
        <w:t>内容要求</w:t>
      </w:r>
      <w:bookmarkEnd w:id="105"/>
      <w:bookmarkEnd w:id="106"/>
    </w:p>
    <w:bookmarkEnd w:id="107"/>
    <w:bookmarkEnd w:id="108"/>
    <w:bookmarkEnd w:id="109"/>
    <w:bookmarkEnd w:id="110"/>
    <w:bookmarkEnd w:id="111"/>
    <w:bookmarkEnd w:id="112"/>
    <w:p w14:paraId="3F4BCDD2">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封面</w:t>
      </w:r>
    </w:p>
    <w:p w14:paraId="5AD27018">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rPr>
      </w:pPr>
      <w:r>
        <w:rPr>
          <w:rFonts w:hint="eastAsia" w:ascii="宋体" w:hAnsi="宋体" w:eastAsia="宋体"/>
          <w:color w:val="auto"/>
          <w:kern w:val="2"/>
          <w:szCs w:val="24"/>
        </w:rPr>
        <w:t>应包括</w:t>
      </w:r>
      <w:r>
        <w:rPr>
          <w:rFonts w:hint="eastAsia" w:ascii="宋体" w:hAnsi="宋体" w:eastAsia="宋体"/>
          <w:color w:val="auto"/>
          <w:kern w:val="2"/>
          <w:szCs w:val="24"/>
          <w:lang w:eastAsia="zh-CN"/>
        </w:rPr>
        <w:t>生态环境状况公报的</w:t>
      </w:r>
      <w:r>
        <w:rPr>
          <w:rFonts w:hint="eastAsia" w:ascii="宋体" w:hAnsi="宋体" w:eastAsia="宋体"/>
          <w:color w:val="auto"/>
          <w:kern w:val="2"/>
          <w:szCs w:val="24"/>
        </w:rPr>
        <w:t>名称、发布单位、发布时间等内容。</w:t>
      </w:r>
    </w:p>
    <w:p w14:paraId="7929CA10">
      <w:pPr>
        <w:pStyle w:val="41"/>
        <w:keepNext w:val="0"/>
        <w:keepLines w:val="0"/>
        <w:pageBreakBefore w:val="0"/>
        <w:widowControl/>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kern w:val="2"/>
          <w:szCs w:val="24"/>
        </w:rPr>
      </w:pPr>
      <w:r>
        <w:rPr>
          <w:rFonts w:hint="eastAsia" w:ascii="宋体" w:hAnsi="宋体" w:eastAsia="宋体"/>
          <w:color w:val="auto"/>
          <w:kern w:val="2"/>
          <w:szCs w:val="24"/>
        </w:rPr>
        <w:t>公报名称应由所公告的</w:t>
      </w:r>
      <w:r>
        <w:rPr>
          <w:rFonts w:hint="eastAsia" w:ascii="宋体" w:hAnsi="宋体" w:eastAsia="宋体"/>
          <w:color w:val="auto"/>
          <w:kern w:val="2"/>
          <w:szCs w:val="24"/>
          <w:lang w:eastAsia="zh-CN"/>
        </w:rPr>
        <w:t>生态环境</w:t>
      </w:r>
      <w:r>
        <w:rPr>
          <w:rFonts w:hint="eastAsia" w:ascii="宋体" w:hAnsi="宋体" w:eastAsia="宋体"/>
          <w:color w:val="auto"/>
          <w:kern w:val="2"/>
          <w:szCs w:val="24"/>
        </w:rPr>
        <w:t>状况时段和行政区域范围要素组成。</w:t>
      </w:r>
    </w:p>
    <w:p w14:paraId="4C805B75">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cs="黑体"/>
          <w:color w:val="auto"/>
        </w:rPr>
      </w:pPr>
      <w:r>
        <w:rPr>
          <w:rFonts w:hint="eastAsia" w:ascii="黑体" w:hAnsi="黑体" w:cs="黑体"/>
          <w:color w:val="auto"/>
          <w:lang w:eastAsia="zh-CN"/>
        </w:rPr>
        <w:t>目录</w:t>
      </w:r>
    </w:p>
    <w:p w14:paraId="1A1407B1">
      <w:pPr>
        <w:pStyle w:val="41"/>
        <w:pageBreakBefore w:val="0"/>
        <w:numPr>
          <w:ilvl w:val="-1"/>
          <w:numId w:val="0"/>
        </w:numPr>
        <w:tabs>
          <w:tab w:val="left" w:pos="0"/>
        </w:tabs>
        <w:kinsoku/>
        <w:wordWrap/>
        <w:overflowPunct/>
        <w:topLinePunct w:val="0"/>
        <w:bidi w:val="0"/>
        <w:adjustRightInd w:val="0"/>
        <w:snapToGrid w:val="0"/>
        <w:spacing w:before="0" w:beforeLines="0" w:after="0" w:afterLines="0"/>
        <w:ind w:left="0" w:firstLine="420" w:firstLineChars="200"/>
        <w:jc w:val="both"/>
        <w:textAlignment w:val="auto"/>
        <w:outlineLvl w:val="9"/>
        <w:rPr>
          <w:rFonts w:hint="eastAsia" w:ascii="宋体" w:hAnsi="宋体" w:eastAsia="宋体"/>
          <w:color w:val="auto"/>
          <w:szCs w:val="24"/>
        </w:rPr>
      </w:pPr>
      <w:r>
        <w:rPr>
          <w:rFonts w:hint="eastAsia" w:ascii="宋体" w:hAnsi="宋体" w:eastAsia="宋体"/>
          <w:color w:val="auto"/>
          <w:szCs w:val="24"/>
        </w:rPr>
        <w:t>目录</w:t>
      </w:r>
      <w:r>
        <w:rPr>
          <w:rFonts w:hint="eastAsia" w:ascii="宋体" w:hAnsi="宋体" w:eastAsia="宋体"/>
          <w:color w:val="auto"/>
          <w:szCs w:val="24"/>
          <w:lang w:val="en-US" w:eastAsia="zh-CN"/>
        </w:rPr>
        <w:t>可根据</w:t>
      </w:r>
      <w:r>
        <w:rPr>
          <w:rFonts w:hint="eastAsia" w:ascii="宋体" w:hAnsi="宋体" w:eastAsia="宋体"/>
          <w:color w:val="auto"/>
          <w:szCs w:val="24"/>
        </w:rPr>
        <w:t>需要设置。</w:t>
      </w:r>
    </w:p>
    <w:p w14:paraId="2D7AEED3">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eastAsia="黑体" w:cs="黑体"/>
          <w:color w:val="auto"/>
        </w:rPr>
      </w:pPr>
      <w:bookmarkStart w:id="116" w:name="_Toc11859"/>
      <w:bookmarkStart w:id="117" w:name="_Toc21140"/>
      <w:bookmarkStart w:id="118" w:name="_Toc13648"/>
      <w:bookmarkStart w:id="119" w:name="_Toc13692"/>
      <w:bookmarkStart w:id="120" w:name="_Toc15380"/>
      <w:bookmarkStart w:id="121" w:name="_Toc18813"/>
      <w:bookmarkStart w:id="122" w:name="_Toc1151"/>
      <w:bookmarkStart w:id="123" w:name="_Toc6221"/>
      <w:bookmarkStart w:id="124" w:name="_Toc16641"/>
      <w:bookmarkStart w:id="125" w:name="_Toc106700760"/>
      <w:bookmarkStart w:id="126" w:name="_Toc14827"/>
      <w:bookmarkStart w:id="127" w:name="_Toc102639016"/>
      <w:bookmarkStart w:id="128" w:name="_Toc5850"/>
      <w:bookmarkStart w:id="129" w:name="_Toc4939"/>
      <w:r>
        <w:rPr>
          <w:rFonts w:hint="eastAsia" w:ascii="Times New Roman"/>
          <w:color w:val="auto"/>
          <w:lang w:eastAsia="zh-CN"/>
        </w:rPr>
        <w:t>生态</w:t>
      </w:r>
      <w:r>
        <w:rPr>
          <w:rFonts w:hint="eastAsia" w:ascii="Times New Roman"/>
          <w:color w:val="auto"/>
        </w:rPr>
        <w:t>环境</w:t>
      </w:r>
      <w:r>
        <w:rPr>
          <w:rFonts w:hint="eastAsia" w:ascii="Times New Roman"/>
          <w:color w:val="auto"/>
          <w:lang w:eastAsia="zh-CN"/>
        </w:rPr>
        <w:t>状况</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3014570">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宋体" w:hAnsi="宋体" w:eastAsia="宋体"/>
          <w:color w:val="auto"/>
          <w:szCs w:val="24"/>
        </w:rPr>
      </w:pPr>
      <w:r>
        <w:rPr>
          <w:rFonts w:hint="eastAsia" w:ascii="黑体" w:hAnsi="黑体" w:eastAsia="黑体" w:cs="黑体"/>
          <w:color w:val="auto"/>
          <w:kern w:val="2"/>
          <w:sz w:val="21"/>
          <w:szCs w:val="24"/>
          <w:lang w:val="en-US" w:eastAsia="zh-CN" w:bidi="ar-SA"/>
        </w:rPr>
        <w:t>基本要求</w:t>
      </w:r>
    </w:p>
    <w:p w14:paraId="03218311">
      <w:pPr>
        <w:pageBreakBefore w:val="0"/>
        <w:widowControl w:val="0"/>
        <w:numPr>
          <w:ilvl w:val="4"/>
          <w:numId w:val="1"/>
        </w:numPr>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宋体"/>
          <w:color w:val="auto"/>
          <w:sz w:val="21"/>
          <w:szCs w:val="24"/>
          <w:lang w:val="en-US" w:eastAsia="zh-CN"/>
        </w:rPr>
        <w:t>应明确公告类型</w:t>
      </w:r>
      <w:r>
        <w:rPr>
          <w:rFonts w:hint="eastAsia" w:ascii="宋体" w:hAnsi="宋体" w:eastAsia="宋体" w:cs="宋体"/>
          <w:color w:val="auto"/>
          <w:sz w:val="21"/>
          <w:szCs w:val="24"/>
        </w:rPr>
        <w:t>（年、季、月）</w:t>
      </w:r>
      <w:r>
        <w:rPr>
          <w:rFonts w:hint="eastAsia" w:ascii="宋体" w:hAnsi="宋体" w:eastAsia="宋体" w:cs="宋体"/>
          <w:color w:val="auto"/>
          <w:sz w:val="21"/>
          <w:szCs w:val="24"/>
          <w:lang w:val="en-US" w:eastAsia="zh-CN"/>
        </w:rPr>
        <w:t>及数据统计时段。</w:t>
      </w:r>
    </w:p>
    <w:p w14:paraId="15DF39FF">
      <w:pPr>
        <w:pageBreakBefore w:val="0"/>
        <w:widowControl w:val="0"/>
        <w:numPr>
          <w:ilvl w:val="4"/>
          <w:numId w:val="1"/>
        </w:numPr>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rPr>
      </w:pPr>
      <w:r>
        <w:rPr>
          <w:rFonts w:hint="eastAsia" w:ascii="宋体" w:hAnsi="宋体" w:eastAsia="宋体" w:cs="宋体"/>
          <w:color w:val="auto"/>
          <w:sz w:val="21"/>
          <w:szCs w:val="24"/>
        </w:rPr>
        <w:t>应系统、客观、准确地反映报告期内</w:t>
      </w:r>
      <w:r>
        <w:rPr>
          <w:rFonts w:hint="eastAsia" w:ascii="宋体" w:hAnsi="宋体" w:eastAsia="宋体" w:cs="宋体"/>
          <w:color w:val="auto"/>
          <w:kern w:val="2"/>
          <w:sz w:val="21"/>
          <w:szCs w:val="24"/>
          <w:lang w:eastAsia="zh-CN"/>
        </w:rPr>
        <w:t>公报发布单位对应的行政区域（如全省、全市或全县）的</w:t>
      </w:r>
      <w:r>
        <w:rPr>
          <w:rFonts w:hint="eastAsia" w:ascii="宋体" w:hAnsi="宋体" w:eastAsia="宋体" w:cs="宋体"/>
          <w:color w:val="auto"/>
          <w:sz w:val="21"/>
          <w:szCs w:val="24"/>
          <w:lang w:eastAsia="zh-CN"/>
        </w:rPr>
        <w:t>大气环境、地表水环境、海洋环境、自然生态、声环境、辐射环境、应对气候变化</w:t>
      </w:r>
      <w:r>
        <w:rPr>
          <w:rFonts w:hint="eastAsia" w:ascii="宋体" w:hAnsi="宋体" w:eastAsia="宋体" w:cs="宋体"/>
          <w:color w:val="auto"/>
          <w:sz w:val="21"/>
          <w:szCs w:val="24"/>
        </w:rPr>
        <w:t>等主要</w:t>
      </w:r>
      <w:r>
        <w:rPr>
          <w:rFonts w:hint="eastAsia" w:ascii="宋体" w:hAnsi="宋体" w:eastAsia="宋体" w:cs="宋体"/>
          <w:color w:val="auto"/>
          <w:sz w:val="21"/>
          <w:szCs w:val="24"/>
          <w:lang w:eastAsia="zh-CN"/>
        </w:rPr>
        <w:t>生态环境</w:t>
      </w:r>
      <w:r>
        <w:rPr>
          <w:rFonts w:hint="eastAsia" w:ascii="宋体" w:hAnsi="宋体" w:eastAsia="宋体" w:cs="宋体"/>
          <w:color w:val="auto"/>
          <w:sz w:val="21"/>
          <w:szCs w:val="24"/>
        </w:rPr>
        <w:t>要素</w:t>
      </w:r>
      <w:r>
        <w:rPr>
          <w:rFonts w:hint="eastAsia" w:ascii="宋体" w:hAnsi="宋体" w:eastAsia="宋体" w:cs="宋体"/>
          <w:color w:val="auto"/>
          <w:sz w:val="21"/>
          <w:szCs w:val="24"/>
          <w:lang w:eastAsia="zh-CN"/>
        </w:rPr>
        <w:t>。</w:t>
      </w:r>
    </w:p>
    <w:p w14:paraId="30B955E5">
      <w:pPr>
        <w:pageBreakBefore w:val="0"/>
        <w:widowControl w:val="0"/>
        <w:numPr>
          <w:ilvl w:val="4"/>
          <w:numId w:val="1"/>
        </w:numPr>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rPr>
      </w:pPr>
      <w:r>
        <w:rPr>
          <w:rFonts w:hint="eastAsia" w:ascii="宋体" w:hAnsi="宋体" w:eastAsia="宋体" w:cs="宋体"/>
          <w:color w:val="auto"/>
          <w:sz w:val="21"/>
          <w:szCs w:val="24"/>
          <w:lang w:val="en-US" w:eastAsia="zh-CN"/>
        </w:rPr>
        <w:t>应对各</w:t>
      </w:r>
      <w:r>
        <w:rPr>
          <w:rFonts w:hint="eastAsia" w:ascii="宋体" w:hAnsi="宋体" w:eastAsia="宋体" w:cs="宋体"/>
          <w:color w:val="auto"/>
          <w:sz w:val="21"/>
          <w:szCs w:val="24"/>
        </w:rPr>
        <w:t>主要</w:t>
      </w:r>
      <w:r>
        <w:rPr>
          <w:rFonts w:hint="eastAsia" w:ascii="宋体" w:hAnsi="宋体" w:eastAsia="宋体" w:cs="宋体"/>
          <w:color w:val="auto"/>
          <w:sz w:val="21"/>
          <w:szCs w:val="24"/>
          <w:lang w:eastAsia="zh-CN"/>
        </w:rPr>
        <w:t>生态环境</w:t>
      </w:r>
      <w:r>
        <w:rPr>
          <w:rFonts w:hint="eastAsia" w:ascii="宋体" w:hAnsi="宋体" w:eastAsia="宋体" w:cs="宋体"/>
          <w:color w:val="auto"/>
          <w:sz w:val="21"/>
          <w:szCs w:val="24"/>
        </w:rPr>
        <w:t>要素</w:t>
      </w:r>
      <w:r>
        <w:rPr>
          <w:rFonts w:hint="eastAsia" w:ascii="宋体" w:hAnsi="宋体" w:eastAsia="宋体" w:cs="宋体"/>
          <w:color w:val="auto"/>
          <w:sz w:val="21"/>
          <w:szCs w:val="24"/>
          <w:lang w:val="en-US" w:eastAsia="zh-CN"/>
        </w:rPr>
        <w:t>的</w:t>
      </w:r>
      <w:r>
        <w:rPr>
          <w:rFonts w:hint="eastAsia" w:ascii="宋体" w:hAnsi="宋体" w:eastAsia="宋体" w:cs="宋体"/>
          <w:color w:val="auto"/>
          <w:sz w:val="21"/>
          <w:szCs w:val="24"/>
        </w:rPr>
        <w:t>时空分布特征及极值进行描述，并与常年值和历史值进行比较</w:t>
      </w:r>
      <w:r>
        <w:rPr>
          <w:rFonts w:hint="eastAsia" w:ascii="宋体" w:hAnsi="宋体" w:eastAsia="宋体" w:cs="宋体"/>
          <w:i w:val="0"/>
          <w:iCs w:val="0"/>
          <w:caps w:val="0"/>
          <w:color w:val="auto"/>
          <w:spacing w:val="0"/>
          <w:sz w:val="21"/>
          <w:szCs w:val="24"/>
          <w:shd w:val="clear" w:fill="FFFFFF"/>
        </w:rPr>
        <w:t>，说明偏离程度及可能原因</w:t>
      </w:r>
      <w:r>
        <w:rPr>
          <w:rFonts w:hint="eastAsia" w:ascii="宋体" w:hAnsi="宋体" w:eastAsia="宋体" w:cs="宋体"/>
          <w:color w:val="auto"/>
          <w:sz w:val="21"/>
          <w:szCs w:val="24"/>
        </w:rPr>
        <w:t>。</w:t>
      </w:r>
    </w:p>
    <w:p w14:paraId="22F2C990">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大气环境</w:t>
      </w:r>
    </w:p>
    <w:p w14:paraId="4316F8D1">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left"/>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内容应包括城市环境空气、城市降水状况。</w:t>
      </w:r>
    </w:p>
    <w:p w14:paraId="05B53915">
      <w:pPr>
        <w:numPr>
          <w:ilvl w:val="4"/>
          <w:numId w:val="1"/>
        </w:numPr>
        <w:adjustRightInd w:val="0"/>
        <w:snapToGrid w:val="0"/>
        <w:spacing w:beforeLines="0" w:afterLines="0"/>
        <w:ind w:firstLine="0" w:firstLineChars="0"/>
        <w:rPr>
          <w:rFonts w:hint="eastAsia" w:ascii="宋体" w:hAnsi="宋体" w:eastAsia="宋体" w:cs="宋体"/>
          <w:i w:val="0"/>
          <w:iCs w:val="0"/>
          <w:caps w:val="0"/>
          <w:color w:val="auto"/>
          <w:spacing w:val="0"/>
          <w:sz w:val="21"/>
          <w:szCs w:val="24"/>
          <w:shd w:val="clear" w:fill="FFFFFF"/>
          <w:lang w:val="en-US" w:eastAsia="zh-CN"/>
        </w:rPr>
      </w:pPr>
      <w:r>
        <w:rPr>
          <w:rFonts w:hint="eastAsia" w:ascii="宋体" w:hAnsi="宋体" w:eastAsia="宋体" w:cs="宋体"/>
          <w:color w:val="auto"/>
          <w:kern w:val="2"/>
          <w:sz w:val="21"/>
          <w:szCs w:val="24"/>
          <w:lang w:val="en-US" w:eastAsia="zh-CN" w:bidi="ar-SA"/>
        </w:rPr>
        <w:t>城市环境空气</w:t>
      </w:r>
      <w:r>
        <w:rPr>
          <w:rFonts w:hint="eastAsia" w:ascii="宋体" w:hAnsi="宋体" w:eastAsia="宋体" w:cs="宋体"/>
          <w:i w:val="0"/>
          <w:iCs w:val="0"/>
          <w:caps w:val="0"/>
          <w:color w:val="auto"/>
          <w:spacing w:val="0"/>
          <w:sz w:val="21"/>
          <w:szCs w:val="24"/>
          <w:shd w:val="clear" w:fill="FFFFFF"/>
          <w:lang w:val="en-US" w:eastAsia="zh-CN"/>
        </w:rPr>
        <w:t>应包括</w:t>
      </w:r>
      <w:r>
        <w:rPr>
          <w:rFonts w:hint="eastAsia" w:ascii="宋体" w:hAnsi="宋体" w:eastAsia="宋体" w:cs="宋体"/>
          <w:i w:val="0"/>
          <w:iCs w:val="0"/>
          <w:caps w:val="0"/>
          <w:color w:val="auto"/>
          <w:spacing w:val="0"/>
          <w:sz w:val="21"/>
          <w:szCs w:val="24"/>
          <w:shd w:val="clear" w:fill="FFFFFF"/>
        </w:rPr>
        <w:t>AQI、PM</w:t>
      </w:r>
      <w:r>
        <w:rPr>
          <w:rFonts w:hint="eastAsia" w:ascii="宋体" w:hAnsi="宋体" w:eastAsia="宋体" w:cs="宋体"/>
          <w:i w:val="0"/>
          <w:iCs w:val="0"/>
          <w:caps w:val="0"/>
          <w:color w:val="auto"/>
          <w:spacing w:val="0"/>
          <w:sz w:val="21"/>
          <w:szCs w:val="24"/>
          <w:shd w:val="clear" w:fill="FFFFFF"/>
          <w:vertAlign w:val="subscript"/>
        </w:rPr>
        <w:t>2.5</w:t>
      </w:r>
      <w:r>
        <w:rPr>
          <w:rFonts w:hint="eastAsia" w:ascii="宋体" w:hAnsi="宋体" w:eastAsia="宋体" w:cs="宋体"/>
          <w:i w:val="0"/>
          <w:iCs w:val="0"/>
          <w:caps w:val="0"/>
          <w:color w:val="auto"/>
          <w:spacing w:val="0"/>
          <w:sz w:val="21"/>
          <w:szCs w:val="24"/>
          <w:shd w:val="clear" w:fill="FFFFFF"/>
        </w:rPr>
        <w:t>、PM</w:t>
      </w:r>
      <w:r>
        <w:rPr>
          <w:rFonts w:hint="eastAsia" w:ascii="宋体" w:hAnsi="宋体" w:eastAsia="宋体" w:cs="宋体"/>
          <w:i w:val="0"/>
          <w:iCs w:val="0"/>
          <w:caps w:val="0"/>
          <w:color w:val="auto"/>
          <w:spacing w:val="0"/>
          <w:sz w:val="21"/>
          <w:szCs w:val="24"/>
          <w:shd w:val="clear" w:fill="FFFFFF"/>
          <w:vertAlign w:val="subscript"/>
        </w:rPr>
        <w:t>10</w:t>
      </w:r>
      <w:r>
        <w:rPr>
          <w:rFonts w:hint="eastAsia" w:ascii="宋体" w:hAnsi="宋体" w:eastAsia="宋体" w:cs="宋体"/>
          <w:i w:val="0"/>
          <w:iCs w:val="0"/>
          <w:caps w:val="0"/>
          <w:color w:val="auto"/>
          <w:spacing w:val="0"/>
          <w:sz w:val="21"/>
          <w:szCs w:val="24"/>
          <w:shd w:val="clear" w:fill="FFFFFF"/>
        </w:rPr>
        <w:t>、O</w:t>
      </w:r>
      <w:r>
        <w:rPr>
          <w:rFonts w:hint="eastAsia" w:ascii="宋体" w:hAnsi="宋体" w:eastAsia="宋体" w:cs="宋体"/>
          <w:i w:val="0"/>
          <w:iCs w:val="0"/>
          <w:caps w:val="0"/>
          <w:color w:val="auto"/>
          <w:spacing w:val="0"/>
          <w:sz w:val="21"/>
          <w:szCs w:val="24"/>
          <w:shd w:val="clear" w:fill="FFFFFF"/>
          <w:vertAlign w:val="subscript"/>
        </w:rPr>
        <w:t>3</w:t>
      </w:r>
      <w:r>
        <w:rPr>
          <w:rFonts w:hint="eastAsia" w:ascii="宋体" w:hAnsi="宋体" w:eastAsia="宋体" w:cs="宋体"/>
          <w:i w:val="0"/>
          <w:iCs w:val="0"/>
          <w:caps w:val="0"/>
          <w:color w:val="auto"/>
          <w:spacing w:val="0"/>
          <w:sz w:val="21"/>
          <w:szCs w:val="24"/>
          <w:shd w:val="clear" w:fill="FFFFFF"/>
        </w:rPr>
        <w:t>、SO</w:t>
      </w:r>
      <w:r>
        <w:rPr>
          <w:rFonts w:hint="eastAsia" w:ascii="宋体" w:hAnsi="宋体" w:eastAsia="宋体" w:cs="宋体"/>
          <w:i w:val="0"/>
          <w:iCs w:val="0"/>
          <w:caps w:val="0"/>
          <w:color w:val="auto"/>
          <w:spacing w:val="0"/>
          <w:sz w:val="21"/>
          <w:szCs w:val="24"/>
          <w:shd w:val="clear" w:fill="FFFFFF"/>
          <w:vertAlign w:val="subscript"/>
        </w:rPr>
        <w:t>2</w:t>
      </w:r>
      <w:r>
        <w:rPr>
          <w:rFonts w:hint="eastAsia" w:ascii="宋体" w:hAnsi="宋体" w:eastAsia="宋体" w:cs="宋体"/>
          <w:i w:val="0"/>
          <w:iCs w:val="0"/>
          <w:caps w:val="0"/>
          <w:color w:val="auto"/>
          <w:spacing w:val="0"/>
          <w:sz w:val="21"/>
          <w:szCs w:val="24"/>
          <w:shd w:val="clear" w:fill="FFFFFF"/>
        </w:rPr>
        <w:t>、NO</w:t>
      </w:r>
      <w:r>
        <w:rPr>
          <w:rFonts w:hint="eastAsia" w:ascii="宋体" w:hAnsi="宋体" w:eastAsia="宋体" w:cs="宋体"/>
          <w:i w:val="0"/>
          <w:iCs w:val="0"/>
          <w:caps w:val="0"/>
          <w:color w:val="auto"/>
          <w:spacing w:val="0"/>
          <w:sz w:val="21"/>
          <w:szCs w:val="24"/>
          <w:shd w:val="clear" w:fill="FFFFFF"/>
          <w:vertAlign w:val="subscript"/>
        </w:rPr>
        <w:t>2</w:t>
      </w:r>
      <w:r>
        <w:rPr>
          <w:rFonts w:hint="eastAsia" w:ascii="宋体" w:hAnsi="宋体" w:eastAsia="宋体" w:cs="宋体"/>
          <w:i w:val="0"/>
          <w:iCs w:val="0"/>
          <w:caps w:val="0"/>
          <w:color w:val="auto"/>
          <w:spacing w:val="0"/>
          <w:sz w:val="21"/>
          <w:szCs w:val="24"/>
          <w:shd w:val="clear" w:fill="FFFFFF"/>
        </w:rPr>
        <w:t>、CO</w:t>
      </w:r>
      <w:r>
        <w:rPr>
          <w:rStyle w:val="19"/>
          <w:rFonts w:hint="eastAsia" w:ascii="宋体" w:hAnsi="宋体" w:eastAsia="宋体" w:cs="宋体"/>
          <w:b w:val="0"/>
          <w:bCs w:val="0"/>
          <w:i w:val="0"/>
          <w:iCs w:val="0"/>
          <w:caps w:val="0"/>
          <w:color w:val="auto"/>
          <w:spacing w:val="0"/>
          <w:sz w:val="21"/>
          <w:szCs w:val="24"/>
          <w:shd w:val="clear" w:fill="FFFFFF"/>
        </w:rPr>
        <w:t>浓度水平、达标情况、时空分布特征</w:t>
      </w:r>
      <w:r>
        <w:rPr>
          <w:rFonts w:hint="eastAsia" w:ascii="宋体" w:hAnsi="宋体" w:eastAsia="宋体" w:cs="宋体"/>
          <w:b w:val="0"/>
          <w:bCs w:val="0"/>
          <w:i w:val="0"/>
          <w:iCs w:val="0"/>
          <w:caps w:val="0"/>
          <w:color w:val="auto"/>
          <w:spacing w:val="0"/>
          <w:sz w:val="21"/>
          <w:szCs w:val="24"/>
          <w:shd w:val="clear"/>
          <w:lang w:eastAsia="zh-CN"/>
        </w:rPr>
        <w:t>。</w:t>
      </w:r>
    </w:p>
    <w:p w14:paraId="50DD91E4">
      <w:pPr>
        <w:keepNext w:val="0"/>
        <w:keepLines w:val="0"/>
        <w:pageBreakBefore w:val="0"/>
        <w:widowControl w:val="0"/>
        <w:numPr>
          <w:ilvl w:val="4"/>
          <w:numId w:val="1"/>
        </w:numPr>
        <w:kinsoku/>
        <w:wordWrap/>
        <w:overflowPunct/>
        <w:topLinePunct w:val="0"/>
        <w:autoSpaceDE/>
        <w:autoSpaceDN/>
        <w:bidi w:val="0"/>
        <w:adjustRightInd w:val="0"/>
        <w:snapToGrid w:val="0"/>
        <w:spacing w:beforeLines="0" w:afterLines="0"/>
        <w:ind w:firstLine="0" w:firstLineChars="0"/>
        <w:textAlignment w:val="auto"/>
        <w:rPr>
          <w:rFonts w:hint="eastAsia" w:ascii="宋体" w:hAnsi="宋体" w:eastAsia="宋体" w:cs="宋体"/>
          <w:color w:val="auto"/>
          <w:sz w:val="21"/>
          <w:szCs w:val="24"/>
          <w:lang w:val="en-US" w:eastAsia="zh-CN"/>
        </w:rPr>
      </w:pPr>
      <w:r>
        <w:rPr>
          <w:rFonts w:hint="eastAsia" w:ascii="宋体" w:hAnsi="宋体" w:eastAsia="宋体" w:cs="宋体"/>
          <w:color w:val="auto"/>
          <w:kern w:val="2"/>
          <w:sz w:val="21"/>
          <w:szCs w:val="24"/>
          <w:lang w:val="en-US" w:eastAsia="zh-CN" w:bidi="ar-SA"/>
        </w:rPr>
        <w:t>城市降水状况</w:t>
      </w:r>
      <w:r>
        <w:rPr>
          <w:rFonts w:hint="eastAsia" w:ascii="宋体" w:hAnsi="宋体" w:eastAsia="宋体" w:cs="宋体"/>
          <w:i w:val="0"/>
          <w:iCs w:val="0"/>
          <w:caps w:val="0"/>
          <w:color w:val="auto"/>
          <w:spacing w:val="0"/>
          <w:sz w:val="21"/>
          <w:szCs w:val="24"/>
          <w:shd w:val="clear"/>
          <w:lang w:val="en-US" w:eastAsia="zh-CN"/>
        </w:rPr>
        <w:t>应包括</w:t>
      </w:r>
      <w:r>
        <w:rPr>
          <w:rStyle w:val="19"/>
          <w:rFonts w:hint="eastAsia" w:ascii="宋体" w:hAnsi="宋体" w:eastAsia="宋体" w:cs="宋体"/>
          <w:b w:val="0"/>
          <w:bCs w:val="0"/>
          <w:i w:val="0"/>
          <w:iCs w:val="0"/>
          <w:caps w:val="0"/>
          <w:color w:val="auto"/>
          <w:spacing w:val="0"/>
          <w:sz w:val="21"/>
          <w:szCs w:val="24"/>
          <w:shd w:val="clear" w:fill="FFFFFF"/>
        </w:rPr>
        <w:t>酸雨频率、降水pH均值、酸雨pH均值</w:t>
      </w:r>
      <w:r>
        <w:rPr>
          <w:rFonts w:hint="eastAsia" w:ascii="宋体" w:hAnsi="宋体" w:eastAsia="宋体" w:cs="宋体"/>
          <w:i w:val="0"/>
          <w:iCs w:val="0"/>
          <w:caps w:val="0"/>
          <w:color w:val="404040"/>
          <w:spacing w:val="0"/>
          <w:sz w:val="21"/>
          <w:szCs w:val="24"/>
          <w:shd w:val="clear" w:fill="auto"/>
        </w:rPr>
        <w:t>的时空分布</w:t>
      </w:r>
      <w:r>
        <w:rPr>
          <w:rFonts w:hint="eastAsia" w:ascii="宋体" w:hAnsi="宋体" w:eastAsia="宋体" w:cs="宋体"/>
          <w:i w:val="0"/>
          <w:iCs w:val="0"/>
          <w:caps w:val="0"/>
          <w:color w:val="auto"/>
          <w:spacing w:val="0"/>
          <w:sz w:val="21"/>
          <w:szCs w:val="24"/>
          <w:shd w:val="clear"/>
          <w:lang w:eastAsia="zh-CN"/>
        </w:rPr>
        <w:t>。</w:t>
      </w:r>
    </w:p>
    <w:p w14:paraId="7EDAB671">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地表水环境</w:t>
      </w:r>
    </w:p>
    <w:p w14:paraId="3532A401">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内容</w:t>
      </w:r>
      <w:r>
        <w:rPr>
          <w:rFonts w:hint="eastAsia" w:ascii="宋体" w:hAnsi="宋体" w:eastAsia="宋体" w:cs="宋体"/>
          <w:color w:val="auto"/>
          <w:kern w:val="2"/>
          <w:sz w:val="21"/>
          <w:szCs w:val="24"/>
          <w:lang w:val="en-US" w:eastAsia="zh-CN" w:bidi="ar-SA"/>
        </w:rPr>
        <w:t>应</w:t>
      </w:r>
      <w:r>
        <w:rPr>
          <w:rFonts w:hint="eastAsia" w:ascii="宋体" w:hAnsi="宋体" w:eastAsia="宋体" w:cs="Times New Roman"/>
          <w:color w:val="auto"/>
          <w:kern w:val="2"/>
          <w:sz w:val="21"/>
          <w:szCs w:val="24"/>
          <w:lang w:val="en-US" w:eastAsia="zh-CN" w:bidi="ar-SA"/>
        </w:rPr>
        <w:t>包括饮用水源、湖泊水库、国考地表水、省考地表水、国考入海河流及省界（市界或县界）河流状况。</w:t>
      </w:r>
    </w:p>
    <w:p w14:paraId="11EF7E3F">
      <w:pPr>
        <w:numPr>
          <w:ilvl w:val="4"/>
          <w:numId w:val="1"/>
        </w:numPr>
        <w:tabs>
          <w:tab w:val="left" w:pos="0"/>
        </w:tabs>
        <w:adjustRightInd w:val="0"/>
        <w:snapToGrid w:val="0"/>
        <w:spacing w:beforeLines="0" w:afterLines="0"/>
        <w:ind w:firstLine="0" w:firstLineChars="0"/>
        <w:outlineLvl w:val="9"/>
        <w:rPr>
          <w:rFonts w:hint="eastAsia"/>
        </w:rPr>
      </w:pPr>
      <w:r>
        <w:rPr>
          <w:rFonts w:hint="eastAsia" w:ascii="宋体" w:hAnsi="宋体" w:eastAsia="宋体" w:cs="宋体"/>
          <w:color w:val="auto"/>
          <w:sz w:val="21"/>
          <w:szCs w:val="24"/>
          <w:lang w:eastAsia="zh-CN"/>
        </w:rPr>
        <w:t>饮用水源</w:t>
      </w:r>
      <w:r>
        <w:rPr>
          <w:rFonts w:hint="eastAsia" w:ascii="宋体" w:hAnsi="宋体" w:eastAsia="宋体" w:cs="宋体"/>
          <w:color w:val="auto"/>
          <w:sz w:val="21"/>
          <w:szCs w:val="24"/>
        </w:rPr>
        <w:t>应</w:t>
      </w:r>
      <w:r>
        <w:rPr>
          <w:rFonts w:hint="eastAsia" w:ascii="宋体" w:hAnsi="宋体" w:eastAsia="宋体" w:cs="宋体"/>
          <w:color w:val="auto"/>
          <w:sz w:val="21"/>
          <w:szCs w:val="24"/>
          <w:lang w:eastAsia="zh-CN"/>
        </w:rPr>
        <w:t>包括在用集中式供水饮用水水源地水质达标率、农村“千吨万人”饮用水水源地达标率。</w:t>
      </w:r>
    </w:p>
    <w:p w14:paraId="711067D0">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湖泊水库应包括湖泊、水库的水质情况、营养状态。</w:t>
      </w:r>
    </w:p>
    <w:p w14:paraId="33A4769A">
      <w:pPr>
        <w:pageBreakBefore w:val="0"/>
        <w:numPr>
          <w:ilvl w:val="4"/>
          <w:numId w:val="1"/>
        </w:numPr>
        <w:tabs>
          <w:tab w:val="left" w:pos="0"/>
        </w:tabs>
        <w:kinsoku/>
        <w:wordWrap/>
        <w:overflowPunct/>
        <w:topLinePunct w:val="0"/>
        <w:bidi w:val="0"/>
        <w:adjustRightInd w:val="0"/>
        <w:snapToGrid w:val="0"/>
        <w:spacing w:beforeLines="0" w:afterLines="0"/>
        <w:ind w:firstLine="0" w:firstLineChars="0"/>
        <w:textAlignment w:val="auto"/>
        <w:outlineLvl w:val="9"/>
        <w:rPr>
          <w:rFonts w:hint="eastAsia"/>
        </w:rPr>
      </w:pPr>
      <w:r>
        <w:rPr>
          <w:rFonts w:hint="eastAsia" w:ascii="宋体" w:hAnsi="宋体" w:eastAsia="宋体" w:cs="宋体"/>
          <w:color w:val="auto"/>
          <w:sz w:val="21"/>
          <w:szCs w:val="24"/>
          <w:lang w:eastAsia="zh-CN"/>
        </w:rPr>
        <w:t>国考地表水应包括国考地表水断面考核评价水质优良率以及和上一年国家核定考核结果相比情况。</w:t>
      </w:r>
    </w:p>
    <w:p w14:paraId="562026D1">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省考地表水应包括省考地表水断面水质优良率以及和上一年考核结果相比情况。</w:t>
      </w:r>
    </w:p>
    <w:p w14:paraId="6FF62EA3">
      <w:pPr>
        <w:pageBreakBefore w:val="0"/>
        <w:numPr>
          <w:ilvl w:val="4"/>
          <w:numId w:val="1"/>
        </w:numPr>
        <w:tabs>
          <w:tab w:val="left" w:pos="0"/>
        </w:tabs>
        <w:kinsoku/>
        <w:wordWrap/>
        <w:overflowPunct/>
        <w:topLinePunct w:val="0"/>
        <w:bidi w:val="0"/>
        <w:adjustRightInd w:val="0"/>
        <w:snapToGrid w:val="0"/>
        <w:spacing w:beforeLines="0" w:afterLines="0"/>
        <w:ind w:firstLine="0" w:firstLineChars="0"/>
        <w:textAlignment w:val="auto"/>
        <w:outlineLvl w:val="9"/>
        <w:rPr>
          <w:rFonts w:hint="eastAsia"/>
        </w:rPr>
      </w:pPr>
      <w:r>
        <w:rPr>
          <w:rFonts w:hint="eastAsia" w:ascii="宋体" w:hAnsi="宋体" w:eastAsia="宋体" w:cs="宋体"/>
          <w:color w:val="auto"/>
          <w:sz w:val="21"/>
          <w:szCs w:val="24"/>
          <w:lang w:eastAsia="zh-CN"/>
        </w:rPr>
        <w:t>国考入海河流应包括国控入海河流断面水质优良率、达标情况以及和上一年考核结果相比情况。</w:t>
      </w:r>
    </w:p>
    <w:p w14:paraId="72EA3C6E">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省界（市界或县界）河流情况应包括省界（市界或县界）河流断面水质情况以及和上一年水质结果相比的情况。</w:t>
      </w:r>
    </w:p>
    <w:p w14:paraId="16EAE0F3">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海洋环境</w:t>
      </w:r>
    </w:p>
    <w:p w14:paraId="6571D743">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内容</w:t>
      </w:r>
      <w:r>
        <w:rPr>
          <w:rFonts w:hint="eastAsia" w:ascii="宋体" w:hAnsi="宋体" w:eastAsia="宋体" w:cs="宋体"/>
          <w:color w:val="auto"/>
          <w:kern w:val="2"/>
          <w:sz w:val="21"/>
          <w:szCs w:val="24"/>
          <w:lang w:val="en-US" w:eastAsia="zh-CN" w:bidi="ar-SA"/>
        </w:rPr>
        <w:t>应</w:t>
      </w:r>
      <w:r>
        <w:rPr>
          <w:rFonts w:hint="eastAsia" w:ascii="宋体" w:hAnsi="宋体" w:eastAsia="宋体" w:cs="Times New Roman"/>
          <w:color w:val="auto"/>
          <w:kern w:val="2"/>
          <w:sz w:val="21"/>
          <w:szCs w:val="24"/>
          <w:lang w:val="en-US" w:eastAsia="zh-CN" w:bidi="ar-SA"/>
        </w:rPr>
        <w:t>包括海水环境质量、海洋生态、部分城市海水浴场水质及近岸海域海洋垃圾状况。</w:t>
      </w:r>
    </w:p>
    <w:p w14:paraId="1409E3CA">
      <w:pPr>
        <w:pageBreakBefore w:val="0"/>
        <w:numPr>
          <w:ilvl w:val="4"/>
          <w:numId w:val="1"/>
        </w:numPr>
        <w:tabs>
          <w:tab w:val="left" w:pos="0"/>
        </w:tabs>
        <w:kinsoku/>
        <w:wordWrap/>
        <w:overflowPunct/>
        <w:topLinePunct w:val="0"/>
        <w:bidi w:val="0"/>
        <w:adjustRightInd w:val="0"/>
        <w:snapToGrid w:val="0"/>
        <w:spacing w:beforeLines="0" w:afterLines="0"/>
        <w:ind w:left="0" w:firstLine="0" w:firstLineChars="0"/>
        <w:textAlignment w:val="auto"/>
        <w:outlineLvl w:val="9"/>
        <w:rPr>
          <w:rFonts w:hint="eastAsia"/>
        </w:rPr>
      </w:pPr>
      <w:r>
        <w:rPr>
          <w:rFonts w:hint="eastAsia" w:ascii="宋体" w:hAnsi="宋体" w:eastAsia="宋体" w:cs="宋体"/>
          <w:color w:val="auto"/>
          <w:sz w:val="21"/>
          <w:szCs w:val="24"/>
          <w:lang w:eastAsia="zh-CN"/>
        </w:rPr>
        <w:t>海上环境质量</w:t>
      </w:r>
      <w:r>
        <w:rPr>
          <w:rFonts w:hint="eastAsia" w:ascii="宋体" w:hAnsi="宋体" w:eastAsia="宋体" w:cs="宋体"/>
          <w:color w:val="auto"/>
          <w:sz w:val="21"/>
          <w:szCs w:val="24"/>
        </w:rPr>
        <w:t>应</w:t>
      </w:r>
      <w:r>
        <w:rPr>
          <w:rFonts w:hint="eastAsia" w:ascii="宋体" w:hAnsi="宋体" w:eastAsia="宋体" w:cs="宋体"/>
          <w:color w:val="auto"/>
          <w:sz w:val="21"/>
          <w:szCs w:val="24"/>
          <w:lang w:eastAsia="zh-CN"/>
        </w:rPr>
        <w:t>包括全省（全市或全县）近岸海域水质年均水质以及和上一年水质结果相比情况。</w:t>
      </w:r>
    </w:p>
    <w:p w14:paraId="09D0F604">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海洋生态应包括海洋生物多样性、海洋生态系统健康状况。</w:t>
      </w:r>
    </w:p>
    <w:p w14:paraId="002DA7BD">
      <w:pPr>
        <w:pageBreakBefore w:val="0"/>
        <w:numPr>
          <w:ilvl w:val="4"/>
          <w:numId w:val="1"/>
        </w:numPr>
        <w:tabs>
          <w:tab w:val="left" w:pos="0"/>
        </w:tabs>
        <w:kinsoku/>
        <w:wordWrap/>
        <w:overflowPunct/>
        <w:topLinePunct w:val="0"/>
        <w:bidi w:val="0"/>
        <w:adjustRightInd w:val="0"/>
        <w:snapToGrid w:val="0"/>
        <w:spacing w:beforeLines="0" w:afterLines="0"/>
        <w:ind w:left="0" w:firstLine="0" w:firstLineChars="0"/>
        <w:textAlignment w:val="auto"/>
        <w:outlineLvl w:val="9"/>
        <w:rPr>
          <w:rFonts w:hint="eastAsia"/>
        </w:rPr>
      </w:pPr>
      <w:r>
        <w:rPr>
          <w:rFonts w:hint="eastAsia" w:ascii="宋体" w:hAnsi="宋体" w:eastAsia="宋体" w:cs="宋体"/>
          <w:color w:val="auto"/>
          <w:sz w:val="21"/>
          <w:szCs w:val="24"/>
          <w:lang w:eastAsia="zh-CN"/>
        </w:rPr>
        <w:t>部分城市海水浴场水质</w:t>
      </w:r>
      <w:r>
        <w:rPr>
          <w:rFonts w:hint="eastAsia" w:ascii="宋体" w:hAnsi="宋体" w:eastAsia="宋体" w:cs="宋体"/>
          <w:color w:val="auto"/>
          <w:sz w:val="21"/>
          <w:szCs w:val="24"/>
        </w:rPr>
        <w:t>应</w:t>
      </w:r>
      <w:r>
        <w:rPr>
          <w:rFonts w:hint="eastAsia" w:ascii="宋体" w:hAnsi="宋体" w:eastAsia="宋体" w:cs="宋体"/>
          <w:color w:val="auto"/>
          <w:sz w:val="21"/>
          <w:szCs w:val="24"/>
          <w:lang w:eastAsia="zh-CN"/>
        </w:rPr>
        <w:t>包括海水浴场的监测水质优良天数比例、影响海水浴场水质的主要指标以及和上一年水质优良天数结果相比情况。</w:t>
      </w:r>
    </w:p>
    <w:p w14:paraId="301FAC86">
      <w:pPr>
        <w:numPr>
          <w:ilvl w:val="4"/>
          <w:numId w:val="1"/>
        </w:numPr>
        <w:tabs>
          <w:tab w:val="left" w:pos="0"/>
        </w:tabs>
        <w:adjustRightInd w:val="0"/>
        <w:snapToGrid w:val="0"/>
        <w:spacing w:beforeLines="0" w:afterLines="0"/>
        <w:ind w:firstLine="0" w:firstLineChars="0"/>
        <w:outlineLvl w:val="9"/>
        <w:rPr>
          <w:rFonts w:hint="eastAsia"/>
          <w:lang w:val="en-US" w:eastAsia="zh-CN"/>
        </w:rPr>
      </w:pPr>
      <w:r>
        <w:rPr>
          <w:rFonts w:hint="eastAsia" w:ascii="宋体" w:hAnsi="宋体" w:eastAsia="宋体" w:cs="Times New Roman"/>
          <w:color w:val="auto"/>
          <w:kern w:val="2"/>
          <w:sz w:val="21"/>
          <w:szCs w:val="24"/>
          <w:lang w:val="en-US" w:eastAsia="zh-CN" w:bidi="ar-SA"/>
        </w:rPr>
        <w:t>近岸海域海洋垃圾应包括海域海滩垃圾、海域海漂垃圾和海域微塑料监测情况。</w:t>
      </w:r>
    </w:p>
    <w:p w14:paraId="6CB5FFA3">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自然生态</w:t>
      </w:r>
    </w:p>
    <w:p w14:paraId="556FE733">
      <w:pPr>
        <w:pageBreakBefore w:val="0"/>
        <w:widowControl/>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left"/>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内容</w:t>
      </w:r>
      <w:r>
        <w:rPr>
          <w:rFonts w:hint="eastAsia" w:ascii="宋体" w:hAnsi="宋体" w:eastAsia="宋体" w:cs="宋体"/>
          <w:color w:val="auto"/>
          <w:kern w:val="2"/>
          <w:sz w:val="21"/>
          <w:szCs w:val="24"/>
          <w:lang w:val="en-US" w:eastAsia="zh-CN" w:bidi="ar-SA"/>
        </w:rPr>
        <w:t>应</w:t>
      </w:r>
      <w:r>
        <w:rPr>
          <w:rFonts w:hint="eastAsia" w:ascii="宋体" w:hAnsi="宋体" w:eastAsia="宋体" w:cs="Times New Roman"/>
          <w:color w:val="auto"/>
          <w:kern w:val="2"/>
          <w:sz w:val="21"/>
          <w:szCs w:val="24"/>
          <w:lang w:val="en-US" w:eastAsia="zh-CN" w:bidi="ar-SA"/>
        </w:rPr>
        <w:t>包括生态质量指数、水土保持和水资源保护、农业农村生态、林业生态及自然保护区状况。</w:t>
      </w:r>
    </w:p>
    <w:p w14:paraId="3A55D892">
      <w:pPr>
        <w:pageBreakBefore w:val="0"/>
        <w:numPr>
          <w:ilvl w:val="4"/>
          <w:numId w:val="1"/>
        </w:numPr>
        <w:tabs>
          <w:tab w:val="left" w:pos="0"/>
        </w:tabs>
        <w:kinsoku/>
        <w:wordWrap/>
        <w:overflowPunct/>
        <w:topLinePunct w:val="0"/>
        <w:bidi w:val="0"/>
        <w:adjustRightInd w:val="0"/>
        <w:snapToGrid w:val="0"/>
        <w:spacing w:beforeLines="0" w:afterLines="0"/>
        <w:ind w:left="0" w:firstLine="0" w:firstLineChars="0"/>
        <w:textAlignment w:val="auto"/>
        <w:outlineLvl w:val="9"/>
        <w:rPr>
          <w:rFonts w:hint="eastAsia"/>
        </w:rPr>
      </w:pPr>
      <w:r>
        <w:rPr>
          <w:rFonts w:hint="eastAsia" w:ascii="宋体" w:hAnsi="宋体" w:eastAsia="宋体" w:cs="宋体"/>
          <w:color w:val="auto"/>
          <w:sz w:val="21"/>
          <w:szCs w:val="24"/>
          <w:lang w:eastAsia="zh-CN"/>
        </w:rPr>
        <w:t>生态质量指数</w:t>
      </w:r>
      <w:r>
        <w:rPr>
          <w:rFonts w:hint="eastAsia" w:ascii="宋体" w:hAnsi="宋体" w:eastAsia="宋体" w:cs="宋体"/>
          <w:color w:val="auto"/>
          <w:sz w:val="21"/>
          <w:szCs w:val="24"/>
        </w:rPr>
        <w:t>应</w:t>
      </w:r>
      <w:r>
        <w:rPr>
          <w:rFonts w:hint="eastAsia" w:ascii="宋体" w:hAnsi="宋体" w:eastAsia="宋体" w:cs="宋体"/>
          <w:color w:val="auto"/>
          <w:sz w:val="21"/>
          <w:szCs w:val="24"/>
          <w:lang w:eastAsia="zh-CN"/>
        </w:rPr>
        <w:t>包括全省（全市或全县）的生态质量指数（</w:t>
      </w:r>
      <w:r>
        <w:rPr>
          <w:rFonts w:hint="eastAsia" w:ascii="宋体" w:hAnsi="宋体" w:eastAsia="宋体" w:cs="宋体"/>
          <w:color w:val="auto"/>
          <w:sz w:val="21"/>
          <w:szCs w:val="24"/>
          <w:lang w:val="en-US" w:eastAsia="zh-CN"/>
        </w:rPr>
        <w:t>EQI</w:t>
      </w:r>
      <w:r>
        <w:rPr>
          <w:rFonts w:hint="eastAsia" w:ascii="宋体" w:hAnsi="宋体" w:eastAsia="宋体" w:cs="宋体"/>
          <w:color w:val="auto"/>
          <w:sz w:val="21"/>
          <w:szCs w:val="24"/>
          <w:lang w:eastAsia="zh-CN"/>
        </w:rPr>
        <w:t>）数值以及市、县级评价单元的生态质量情况。</w:t>
      </w:r>
    </w:p>
    <w:p w14:paraId="7D917A34">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水土保持和水资源保护应包括水土流失治理面积、全年查办水事违法案件宗数。</w:t>
      </w:r>
    </w:p>
    <w:p w14:paraId="6F126780">
      <w:pPr>
        <w:pageBreakBefore w:val="0"/>
        <w:numPr>
          <w:ilvl w:val="4"/>
          <w:numId w:val="1"/>
        </w:numPr>
        <w:tabs>
          <w:tab w:val="left" w:pos="0"/>
        </w:tabs>
        <w:kinsoku/>
        <w:wordWrap/>
        <w:overflowPunct/>
        <w:topLinePunct w:val="0"/>
        <w:bidi w:val="0"/>
        <w:adjustRightInd w:val="0"/>
        <w:snapToGrid w:val="0"/>
        <w:spacing w:beforeLines="0" w:afterLines="0"/>
        <w:ind w:left="0" w:firstLine="0" w:firstLineChars="0"/>
        <w:textAlignment w:val="auto"/>
        <w:outlineLvl w:val="9"/>
        <w:rPr>
          <w:rFonts w:hint="eastAsia"/>
        </w:rPr>
      </w:pPr>
      <w:r>
        <w:rPr>
          <w:rFonts w:hint="eastAsia" w:ascii="宋体" w:hAnsi="宋体" w:eastAsia="宋体" w:cs="宋体"/>
          <w:color w:val="auto"/>
          <w:sz w:val="21"/>
          <w:szCs w:val="24"/>
          <w:lang w:eastAsia="zh-CN"/>
        </w:rPr>
        <w:t>农业农村生态</w:t>
      </w:r>
      <w:r>
        <w:rPr>
          <w:rFonts w:hint="eastAsia" w:ascii="宋体" w:hAnsi="宋体" w:eastAsia="宋体" w:cs="宋体"/>
          <w:color w:val="auto"/>
          <w:sz w:val="21"/>
          <w:szCs w:val="24"/>
        </w:rPr>
        <w:t>应</w:t>
      </w:r>
      <w:r>
        <w:rPr>
          <w:rFonts w:hint="eastAsia" w:ascii="宋体" w:hAnsi="宋体" w:eastAsia="宋体" w:cs="宋体"/>
          <w:color w:val="auto"/>
          <w:sz w:val="21"/>
          <w:szCs w:val="24"/>
          <w:lang w:eastAsia="zh-CN"/>
        </w:rPr>
        <w:t>包括全省（全市或全县）农业生产（种植业）农药使用总量、绿色有机地标名特优新农产品总数。</w:t>
      </w:r>
    </w:p>
    <w:p w14:paraId="61C478FE">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林业生态应包括</w:t>
      </w:r>
      <w:r>
        <w:rPr>
          <w:rFonts w:hint="eastAsia" w:ascii="宋体" w:hAnsi="宋体" w:eastAsia="宋体" w:cs="宋体"/>
          <w:color w:val="auto"/>
          <w:sz w:val="21"/>
          <w:szCs w:val="24"/>
          <w:lang w:eastAsia="zh-CN"/>
        </w:rPr>
        <w:t>全省（全市或全县）林业有害生物发生面积、成灾面积，森林面积、森林覆被率，记录分布的野生动植物数量。</w:t>
      </w:r>
    </w:p>
    <w:p w14:paraId="0907745A">
      <w:pPr>
        <w:numPr>
          <w:ilvl w:val="4"/>
          <w:numId w:val="1"/>
        </w:numPr>
        <w:tabs>
          <w:tab w:val="left" w:pos="0"/>
        </w:tabs>
        <w:adjustRightInd w:val="0"/>
        <w:snapToGrid w:val="0"/>
        <w:spacing w:beforeLines="0" w:afterLines="0"/>
        <w:ind w:firstLine="0" w:firstLineChars="0"/>
        <w:outlineLvl w:val="9"/>
        <w:rPr>
          <w:rFonts w:hint="eastAsia"/>
          <w:lang w:val="en-US" w:eastAsia="zh-CN"/>
        </w:rPr>
      </w:pPr>
      <w:r>
        <w:rPr>
          <w:rFonts w:hint="eastAsia" w:ascii="宋体" w:hAnsi="宋体" w:eastAsia="宋体" w:cs="Times New Roman"/>
          <w:color w:val="auto"/>
          <w:kern w:val="2"/>
          <w:sz w:val="21"/>
          <w:szCs w:val="24"/>
          <w:lang w:val="en-US" w:eastAsia="zh-CN" w:bidi="ar-SA"/>
        </w:rPr>
        <w:t>自然保护区应包括</w:t>
      </w:r>
      <w:r>
        <w:rPr>
          <w:rFonts w:hint="eastAsia" w:ascii="宋体" w:hAnsi="宋体" w:eastAsia="宋体" w:cs="宋体"/>
          <w:color w:val="auto"/>
          <w:sz w:val="21"/>
          <w:szCs w:val="24"/>
          <w:lang w:eastAsia="zh-CN"/>
        </w:rPr>
        <w:t>全省（全市或全县）各级各类自然保护地数量。</w:t>
      </w:r>
    </w:p>
    <w:p w14:paraId="116937E1">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声环境</w:t>
      </w:r>
    </w:p>
    <w:p w14:paraId="45B65FD9">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内容</w:t>
      </w:r>
      <w:r>
        <w:rPr>
          <w:rFonts w:hint="eastAsia" w:ascii="宋体" w:hAnsi="宋体" w:eastAsia="宋体" w:cs="宋体"/>
          <w:color w:val="auto"/>
          <w:kern w:val="2"/>
          <w:sz w:val="21"/>
          <w:szCs w:val="24"/>
          <w:lang w:val="en-US" w:eastAsia="zh-CN" w:bidi="ar-SA"/>
        </w:rPr>
        <w:t>应</w:t>
      </w:r>
      <w:r>
        <w:rPr>
          <w:rFonts w:hint="eastAsia" w:ascii="宋体" w:hAnsi="宋体" w:eastAsia="宋体" w:cs="Times New Roman"/>
          <w:color w:val="auto"/>
          <w:kern w:val="2"/>
          <w:sz w:val="21"/>
          <w:szCs w:val="24"/>
          <w:lang w:val="en-US" w:eastAsia="zh-CN" w:bidi="ar-SA"/>
        </w:rPr>
        <w:t>包括城市功能区环境昼夜间达标率、城市区域环境噪声昼间等效声级平均值及城市道路交通噪声昼间平均值状况。</w:t>
      </w:r>
    </w:p>
    <w:p w14:paraId="6D71670E">
      <w:pPr>
        <w:pageBreakBefore w:val="0"/>
        <w:numPr>
          <w:ilvl w:val="4"/>
          <w:numId w:val="1"/>
        </w:numPr>
        <w:tabs>
          <w:tab w:val="left" w:pos="0"/>
        </w:tabs>
        <w:kinsoku/>
        <w:wordWrap/>
        <w:overflowPunct/>
        <w:topLinePunct w:val="0"/>
        <w:bidi w:val="0"/>
        <w:adjustRightInd w:val="0"/>
        <w:snapToGrid w:val="0"/>
        <w:spacing w:beforeLines="0" w:afterLines="0"/>
        <w:ind w:left="0" w:firstLine="0" w:firstLineChars="0"/>
        <w:textAlignment w:val="auto"/>
        <w:outlineLvl w:val="9"/>
        <w:rPr>
          <w:rFonts w:hint="eastAsia"/>
        </w:rPr>
      </w:pPr>
      <w:r>
        <w:rPr>
          <w:rFonts w:hint="eastAsia" w:ascii="宋体" w:hAnsi="宋体" w:eastAsia="宋体" w:cs="Times New Roman"/>
          <w:color w:val="auto"/>
          <w:kern w:val="2"/>
          <w:sz w:val="21"/>
          <w:szCs w:val="24"/>
          <w:lang w:val="en-US" w:eastAsia="zh-CN" w:bidi="ar-SA"/>
        </w:rPr>
        <w:t>城市功能区环境昼夜间达标率</w:t>
      </w:r>
      <w:r>
        <w:rPr>
          <w:rFonts w:hint="eastAsia" w:ascii="宋体" w:hAnsi="宋体" w:eastAsia="宋体" w:cs="宋体"/>
          <w:color w:val="auto"/>
          <w:sz w:val="21"/>
          <w:szCs w:val="24"/>
        </w:rPr>
        <w:t>应</w:t>
      </w:r>
      <w:r>
        <w:rPr>
          <w:rFonts w:hint="eastAsia" w:ascii="宋体" w:hAnsi="宋体" w:eastAsia="宋体" w:cs="宋体"/>
          <w:color w:val="auto"/>
          <w:sz w:val="21"/>
          <w:szCs w:val="24"/>
          <w:lang w:eastAsia="zh-CN"/>
        </w:rPr>
        <w:t>包括全省（全市或全县）</w:t>
      </w:r>
      <w:r>
        <w:rPr>
          <w:rFonts w:hint="eastAsia" w:ascii="宋体" w:hAnsi="宋体" w:eastAsia="宋体" w:cs="Times New Roman"/>
          <w:color w:val="auto"/>
          <w:kern w:val="2"/>
          <w:sz w:val="21"/>
          <w:szCs w:val="24"/>
          <w:lang w:val="en-US" w:eastAsia="zh-CN" w:bidi="ar-SA"/>
        </w:rPr>
        <w:t>城市功能区环境昼间达标率的区间、平均数，城市功能区环境夜间达标率的区间、平均数。</w:t>
      </w:r>
    </w:p>
    <w:p w14:paraId="76D554A4">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城市区域环境噪声昼间等效声级平均值包括</w:t>
      </w:r>
      <w:r>
        <w:rPr>
          <w:rFonts w:hint="eastAsia" w:ascii="宋体" w:hAnsi="宋体" w:eastAsia="宋体" w:cs="宋体"/>
          <w:color w:val="auto"/>
          <w:sz w:val="21"/>
          <w:szCs w:val="24"/>
          <w:lang w:eastAsia="zh-CN"/>
        </w:rPr>
        <w:t>全省（全市或全县）</w:t>
      </w:r>
      <w:r>
        <w:rPr>
          <w:rFonts w:hint="eastAsia" w:ascii="宋体" w:hAnsi="宋体" w:eastAsia="宋体" w:cs="Times New Roman"/>
          <w:color w:val="auto"/>
          <w:kern w:val="2"/>
          <w:sz w:val="21"/>
          <w:szCs w:val="24"/>
          <w:lang w:val="en-US" w:eastAsia="zh-CN" w:bidi="ar-SA"/>
        </w:rPr>
        <w:t>城市区域环境噪声昼间等效声级平均值数值、声源和不同类别占比、不同地市（县）评价情况。</w:t>
      </w:r>
    </w:p>
    <w:p w14:paraId="0C663873">
      <w:pPr>
        <w:pageBreakBefore w:val="0"/>
        <w:numPr>
          <w:ilvl w:val="4"/>
          <w:numId w:val="1"/>
        </w:numPr>
        <w:tabs>
          <w:tab w:val="left" w:pos="0"/>
        </w:tabs>
        <w:kinsoku/>
        <w:wordWrap/>
        <w:overflowPunct/>
        <w:topLinePunct w:val="0"/>
        <w:bidi w:val="0"/>
        <w:adjustRightInd w:val="0"/>
        <w:snapToGrid w:val="0"/>
        <w:spacing w:beforeLines="0" w:afterLines="0"/>
        <w:ind w:firstLine="0" w:firstLineChars="0"/>
        <w:textAlignment w:val="auto"/>
        <w:outlineLvl w:val="9"/>
        <w:rPr>
          <w:rFonts w:hint="eastAsia"/>
          <w:lang w:val="en-US" w:eastAsia="zh-CN"/>
        </w:rPr>
      </w:pPr>
      <w:r>
        <w:rPr>
          <w:rFonts w:hint="eastAsia" w:ascii="宋体" w:hAnsi="宋体" w:eastAsia="宋体" w:cs="Times New Roman"/>
          <w:color w:val="auto"/>
          <w:kern w:val="2"/>
          <w:sz w:val="21"/>
          <w:szCs w:val="24"/>
          <w:lang w:val="en-US" w:eastAsia="zh-CN" w:bidi="ar-SA"/>
        </w:rPr>
        <w:t>城市道路交通噪声昼间平均值状况</w:t>
      </w:r>
      <w:r>
        <w:rPr>
          <w:rFonts w:hint="eastAsia" w:ascii="宋体" w:hAnsi="宋体" w:eastAsia="宋体" w:cs="宋体"/>
          <w:color w:val="auto"/>
          <w:sz w:val="21"/>
          <w:szCs w:val="24"/>
        </w:rPr>
        <w:t>应</w:t>
      </w:r>
      <w:r>
        <w:rPr>
          <w:rFonts w:hint="eastAsia" w:ascii="宋体" w:hAnsi="宋体" w:eastAsia="宋体" w:cs="宋体"/>
          <w:color w:val="auto"/>
          <w:sz w:val="21"/>
          <w:szCs w:val="24"/>
          <w:lang w:eastAsia="zh-CN"/>
        </w:rPr>
        <w:t>包括全省（全市或全县）</w:t>
      </w:r>
      <w:r>
        <w:rPr>
          <w:rFonts w:hint="eastAsia" w:ascii="宋体" w:hAnsi="宋体" w:eastAsia="宋体" w:cs="Times New Roman"/>
          <w:color w:val="auto"/>
          <w:kern w:val="2"/>
          <w:sz w:val="21"/>
          <w:szCs w:val="24"/>
          <w:lang w:val="en-US" w:eastAsia="zh-CN" w:bidi="ar-SA"/>
        </w:rPr>
        <w:t>城市道路交通噪声昼间平均值以及不同地市（县）评价情况。</w:t>
      </w:r>
    </w:p>
    <w:p w14:paraId="2B9EB19A">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辐射环境</w:t>
      </w:r>
    </w:p>
    <w:p w14:paraId="48028E9C">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内容</w:t>
      </w:r>
      <w:r>
        <w:rPr>
          <w:rFonts w:hint="eastAsia" w:ascii="宋体" w:hAnsi="宋体" w:eastAsia="宋体" w:cs="宋体"/>
          <w:color w:val="auto"/>
          <w:kern w:val="2"/>
          <w:sz w:val="21"/>
          <w:szCs w:val="24"/>
          <w:lang w:val="en-US" w:eastAsia="zh-CN" w:bidi="ar-SA"/>
        </w:rPr>
        <w:t>应</w:t>
      </w:r>
      <w:r>
        <w:rPr>
          <w:rFonts w:hint="eastAsia" w:ascii="宋体" w:hAnsi="宋体" w:eastAsia="宋体" w:cs="Times New Roman"/>
          <w:color w:val="auto"/>
          <w:kern w:val="2"/>
          <w:sz w:val="21"/>
          <w:szCs w:val="24"/>
          <w:lang w:val="en-US" w:eastAsia="zh-CN" w:bidi="ar-SA"/>
        </w:rPr>
        <w:t>包括环境电离辐射质量、环境电磁辐射质量状况。</w:t>
      </w:r>
    </w:p>
    <w:p w14:paraId="041373AB">
      <w:pPr>
        <w:pageBreakBefore w:val="0"/>
        <w:numPr>
          <w:ilvl w:val="4"/>
          <w:numId w:val="1"/>
        </w:numPr>
        <w:tabs>
          <w:tab w:val="left" w:pos="0"/>
        </w:tabs>
        <w:kinsoku/>
        <w:wordWrap/>
        <w:overflowPunct/>
        <w:topLinePunct w:val="0"/>
        <w:bidi w:val="0"/>
        <w:adjustRightInd w:val="0"/>
        <w:snapToGrid w:val="0"/>
        <w:spacing w:beforeLines="0" w:afterLines="0"/>
        <w:ind w:left="0" w:firstLine="0" w:firstLineChars="0"/>
        <w:textAlignment w:val="auto"/>
        <w:outlineLvl w:val="9"/>
        <w:rPr>
          <w:rFonts w:hint="eastAsia"/>
        </w:rPr>
      </w:pPr>
      <w:r>
        <w:rPr>
          <w:rFonts w:hint="eastAsia" w:ascii="宋体" w:hAnsi="宋体" w:eastAsia="宋体" w:cs="Times New Roman"/>
          <w:color w:val="auto"/>
          <w:kern w:val="2"/>
          <w:sz w:val="21"/>
          <w:szCs w:val="24"/>
          <w:lang w:val="en-US" w:eastAsia="zh-CN" w:bidi="ar-SA"/>
        </w:rPr>
        <w:t>环境电离辐射质量</w:t>
      </w:r>
      <w:r>
        <w:rPr>
          <w:rFonts w:hint="eastAsia" w:ascii="宋体" w:hAnsi="宋体" w:eastAsia="宋体" w:cs="宋体"/>
          <w:color w:val="auto"/>
          <w:sz w:val="21"/>
          <w:szCs w:val="24"/>
        </w:rPr>
        <w:t>应</w:t>
      </w:r>
      <w:r>
        <w:rPr>
          <w:rFonts w:hint="eastAsia" w:ascii="宋体" w:hAnsi="宋体" w:eastAsia="宋体" w:cs="宋体"/>
          <w:color w:val="auto"/>
          <w:sz w:val="21"/>
          <w:szCs w:val="24"/>
          <w:lang w:eastAsia="zh-CN"/>
        </w:rPr>
        <w:t>包括全省（全市或全县）列入环境质量辐射自动监测站测得的情况</w:t>
      </w:r>
    </w:p>
    <w:p w14:paraId="72CDD3E8">
      <w:pPr>
        <w:numPr>
          <w:ilvl w:val="4"/>
          <w:numId w:val="1"/>
        </w:numPr>
        <w:tabs>
          <w:tab w:val="left" w:pos="0"/>
        </w:tabs>
        <w:adjustRightInd w:val="0"/>
        <w:snapToGrid w:val="0"/>
        <w:spacing w:beforeLines="0" w:afterLines="0"/>
        <w:ind w:firstLine="0" w:firstLineChars="0"/>
        <w:outlineLvl w:val="9"/>
        <w:rPr>
          <w:rFonts w:hint="eastAsia"/>
          <w:lang w:val="en-US" w:eastAsia="zh-CN"/>
        </w:rPr>
      </w:pPr>
      <w:r>
        <w:rPr>
          <w:rFonts w:hint="eastAsia" w:ascii="宋体" w:hAnsi="宋体" w:eastAsia="宋体" w:cs="Times New Roman"/>
          <w:color w:val="auto"/>
          <w:kern w:val="2"/>
          <w:sz w:val="21"/>
          <w:szCs w:val="24"/>
          <w:lang w:val="en-US" w:eastAsia="zh-CN" w:bidi="ar-SA"/>
        </w:rPr>
        <w:t>环境电磁辐射质量应包括</w:t>
      </w:r>
      <w:r>
        <w:rPr>
          <w:rFonts w:hint="eastAsia" w:ascii="宋体" w:hAnsi="宋体" w:eastAsia="宋体" w:cs="宋体"/>
          <w:color w:val="auto"/>
          <w:sz w:val="21"/>
          <w:szCs w:val="24"/>
          <w:lang w:eastAsia="zh-CN"/>
        </w:rPr>
        <w:t>全省（全市或全县）电磁辐射环境水平。</w:t>
      </w:r>
    </w:p>
    <w:p w14:paraId="5B519189">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应对气候变化</w:t>
      </w:r>
    </w:p>
    <w:p w14:paraId="20A2705C">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内容</w:t>
      </w:r>
      <w:r>
        <w:rPr>
          <w:rFonts w:hint="eastAsia" w:ascii="宋体" w:hAnsi="宋体" w:eastAsia="宋体" w:cs="宋体"/>
          <w:color w:val="auto"/>
          <w:kern w:val="2"/>
          <w:sz w:val="21"/>
          <w:szCs w:val="24"/>
          <w:lang w:val="en-US" w:eastAsia="zh-CN" w:bidi="ar-SA"/>
        </w:rPr>
        <w:t>应</w:t>
      </w:r>
      <w:r>
        <w:rPr>
          <w:rFonts w:hint="eastAsia" w:ascii="宋体" w:hAnsi="宋体" w:eastAsia="宋体" w:cs="Times New Roman"/>
          <w:color w:val="auto"/>
          <w:kern w:val="2"/>
          <w:sz w:val="21"/>
          <w:szCs w:val="24"/>
          <w:lang w:val="en-US" w:eastAsia="zh-CN" w:bidi="ar-SA"/>
        </w:rPr>
        <w:t>包括碳市场、碳标签状况。</w:t>
      </w:r>
    </w:p>
    <w:p w14:paraId="55AF2A34">
      <w:pPr>
        <w:pageBreakBefore w:val="0"/>
        <w:widowControl w:val="0"/>
        <w:numPr>
          <w:ilvl w:val="4"/>
          <w:numId w:val="1"/>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宋体" w:hAnsi="宋体" w:eastAsia="宋体" w:cs="Times New Roman"/>
          <w:color w:val="auto"/>
          <w:kern w:val="2"/>
          <w:sz w:val="21"/>
          <w:szCs w:val="24"/>
          <w:lang w:val="en-US" w:eastAsia="zh-CN" w:bidi="ar-SA"/>
        </w:rPr>
        <w:t>碳市场应包括碳排放配额累计成交量、累计成交金额。</w:t>
      </w:r>
    </w:p>
    <w:p w14:paraId="45DA0762">
      <w:pPr>
        <w:numPr>
          <w:ilvl w:val="4"/>
          <w:numId w:val="1"/>
        </w:numPr>
        <w:tabs>
          <w:tab w:val="left" w:pos="0"/>
        </w:tabs>
        <w:adjustRightInd w:val="0"/>
        <w:snapToGrid w:val="0"/>
        <w:spacing w:beforeLines="0" w:afterLines="0"/>
        <w:ind w:firstLine="0" w:firstLineChars="0"/>
        <w:outlineLvl w:val="9"/>
        <w:rPr>
          <w:rFonts w:hint="eastAsia"/>
          <w:lang w:val="en-US" w:eastAsia="zh-CN"/>
        </w:rPr>
      </w:pPr>
      <w:r>
        <w:rPr>
          <w:rFonts w:hint="eastAsia" w:ascii="宋体" w:hAnsi="宋体" w:eastAsia="宋体" w:cs="Times New Roman"/>
          <w:color w:val="auto"/>
          <w:kern w:val="2"/>
          <w:sz w:val="21"/>
          <w:szCs w:val="24"/>
          <w:lang w:val="en-US" w:eastAsia="zh-CN" w:bidi="ar-SA"/>
        </w:rPr>
        <w:t>碳标签应包括碳普惠、碳标签的情况。</w:t>
      </w:r>
    </w:p>
    <w:p w14:paraId="5F7C0C33">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eastAsia="黑体" w:cs="黑体"/>
          <w:color w:val="auto"/>
        </w:rPr>
      </w:pPr>
      <w:r>
        <w:rPr>
          <w:rFonts w:hint="eastAsia" w:cs="黑体"/>
          <w:color w:val="auto"/>
          <w:lang w:eastAsia="zh-CN"/>
        </w:rPr>
        <w:t>措施与行动</w:t>
      </w:r>
    </w:p>
    <w:p w14:paraId="7C269F78">
      <w:pPr>
        <w:pageBreakBefore w:val="0"/>
        <w:widowControl w:val="0"/>
        <w:numPr>
          <w:ilvl w:val="-1"/>
          <w:numId w:val="0"/>
        </w:numPr>
        <w:tabs>
          <w:tab w:val="left" w:pos="0"/>
        </w:tabs>
        <w:kinsoku/>
        <w:wordWrap/>
        <w:overflowPunct/>
        <w:topLinePunct w:val="0"/>
        <w:bidi w:val="0"/>
        <w:adjustRightInd w:val="0"/>
        <w:snapToGrid w:val="0"/>
        <w:spacing w:before="0" w:beforeLines="0" w:after="0" w:afterLines="0"/>
        <w:ind w:left="0" w:firstLine="0" w:firstLineChars="0"/>
        <w:jc w:val="both"/>
        <w:textAlignment w:val="auto"/>
        <w:outlineLvl w:val="9"/>
        <w:rPr>
          <w:rFonts w:hint="eastAsia" w:ascii="宋体" w:hAnsi="宋体" w:eastAsia="宋体" w:cs="宋体"/>
          <w:color w:val="auto"/>
          <w:sz w:val="21"/>
          <w:szCs w:val="24"/>
          <w:lang w:val="en-US" w:eastAsia="zh-CN"/>
        </w:rPr>
      </w:pPr>
      <w:r>
        <w:rPr>
          <w:rFonts w:hint="eastAsia" w:ascii="黑体" w:hAnsi="黑体" w:eastAsia="黑体" w:cs="黑体"/>
          <w:color w:val="auto"/>
          <w:sz w:val="21"/>
          <w:szCs w:val="21"/>
          <w:lang w:val="en-US" w:eastAsia="zh-CN"/>
        </w:rPr>
        <w:t xml:space="preserve">6.4.1 </w:t>
      </w:r>
      <w:r>
        <w:rPr>
          <w:rFonts w:hint="eastAsia" w:ascii="黑体" w:hAnsi="黑体" w:eastAsia="黑体" w:cs="黑体"/>
          <w:color w:val="auto"/>
          <w:szCs w:val="24"/>
          <w:lang w:val="en-US" w:eastAsia="zh-CN"/>
        </w:rPr>
        <w:t xml:space="preserve"> </w:t>
      </w:r>
      <w:r>
        <w:rPr>
          <w:rFonts w:hint="eastAsia" w:ascii="宋体" w:hAnsi="宋体" w:eastAsia="宋体" w:cs="Times New Roman"/>
          <w:color w:val="auto"/>
          <w:kern w:val="2"/>
          <w:sz w:val="21"/>
          <w:szCs w:val="24"/>
          <w:lang w:val="en-US" w:eastAsia="zh-CN" w:bidi="ar-SA"/>
        </w:rPr>
        <w:t>内容</w:t>
      </w:r>
      <w:r>
        <w:rPr>
          <w:rFonts w:hint="eastAsia" w:ascii="宋体" w:hAnsi="宋体" w:eastAsia="宋体" w:cs="宋体"/>
          <w:color w:val="auto"/>
          <w:kern w:val="2"/>
          <w:sz w:val="21"/>
          <w:szCs w:val="24"/>
          <w:lang w:val="en-US" w:eastAsia="zh-CN" w:bidi="ar-SA"/>
        </w:rPr>
        <w:t>应</w:t>
      </w:r>
      <w:r>
        <w:rPr>
          <w:rFonts w:hint="eastAsia" w:ascii="宋体" w:hAnsi="宋体" w:eastAsia="宋体" w:cs="Times New Roman"/>
          <w:color w:val="auto"/>
          <w:kern w:val="2"/>
          <w:sz w:val="21"/>
          <w:szCs w:val="24"/>
          <w:lang w:val="en-US" w:eastAsia="zh-CN" w:bidi="ar-SA"/>
        </w:rPr>
        <w:t>包括年度内为改善生态环境质量和解决环境问题所采取的各项生态环境保护工作开展情况。</w:t>
      </w:r>
    </w:p>
    <w:p w14:paraId="25029451">
      <w:pPr>
        <w:numPr>
          <w:ilvl w:val="0"/>
          <w:numId w:val="0"/>
        </w:numPr>
        <w:tabs>
          <w:tab w:val="left" w:pos="0"/>
        </w:tabs>
        <w:adjustRightInd w:val="0"/>
        <w:snapToGrid w:val="0"/>
        <w:spacing w:beforeLines="0" w:afterLines="0"/>
        <w:ind w:firstLine="0" w:firstLineChars="0"/>
        <w:outlineLvl w:val="9"/>
        <w:rPr>
          <w:rFonts w:hint="eastAsia"/>
        </w:rPr>
      </w:pPr>
      <w:r>
        <w:rPr>
          <w:rFonts w:hint="eastAsia" w:ascii="黑体" w:hAnsi="黑体" w:eastAsia="黑体" w:cs="黑体"/>
          <w:color w:val="auto"/>
          <w:kern w:val="2"/>
          <w:sz w:val="21"/>
          <w:szCs w:val="24"/>
          <w:lang w:val="en-US" w:eastAsia="zh-CN" w:bidi="ar-SA"/>
        </w:rPr>
        <w:t xml:space="preserve">6.4.2  </w:t>
      </w:r>
      <w:r>
        <w:rPr>
          <w:rFonts w:hint="eastAsia" w:ascii="宋体" w:hAnsi="宋体" w:eastAsia="宋体" w:cs="Times New Roman"/>
          <w:color w:val="auto"/>
          <w:kern w:val="2"/>
          <w:sz w:val="21"/>
          <w:szCs w:val="24"/>
          <w:lang w:val="en-US" w:eastAsia="zh-CN" w:bidi="ar-SA"/>
        </w:rPr>
        <w:t>各项工作包括</w:t>
      </w:r>
      <w:r>
        <w:rPr>
          <w:rFonts w:hint="eastAsia" w:ascii="宋体" w:hAnsi="宋体" w:eastAsia="宋体" w:cs="宋体"/>
          <w:color w:val="auto"/>
          <w:sz w:val="21"/>
          <w:szCs w:val="24"/>
          <w:lang w:eastAsia="zh-CN"/>
        </w:rPr>
        <w:t>全省（全市或全县）</w:t>
      </w:r>
      <w:r>
        <w:rPr>
          <w:rFonts w:hint="eastAsia" w:ascii="宋体" w:hAnsi="宋体" w:eastAsia="宋体" w:cs="Times New Roman"/>
          <w:color w:val="auto"/>
          <w:kern w:val="2"/>
          <w:sz w:val="21"/>
          <w:szCs w:val="24"/>
          <w:lang w:val="en-US" w:eastAsia="zh-CN" w:bidi="ar-SA"/>
        </w:rPr>
        <w:t>生态环境保护总述、生态环境制度建设、环境污染防治监督管理、生态环境保护监察与执法、生态环境宣传教育、应对气候变化、服务企事业单位等情况并体现工作成果。</w:t>
      </w:r>
    </w:p>
    <w:p w14:paraId="42A79328">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eastAsia="黑体" w:cs="黑体"/>
          <w:color w:val="auto"/>
        </w:rPr>
      </w:pPr>
      <w:r>
        <w:rPr>
          <w:rFonts w:hint="eastAsia" w:cs="黑体"/>
          <w:color w:val="auto"/>
          <w:lang w:eastAsia="zh-CN"/>
        </w:rPr>
        <w:t>大事记</w:t>
      </w:r>
    </w:p>
    <w:p w14:paraId="0F970F96">
      <w:pPr>
        <w:pageBreakBefore w:val="0"/>
        <w:widowControl w:val="0"/>
        <w:numPr>
          <w:ilvl w:val="-1"/>
          <w:numId w:val="0"/>
        </w:numPr>
        <w:kinsoku/>
        <w:wordWrap/>
        <w:overflowPunct/>
        <w:topLinePunct w:val="0"/>
        <w:bidi w:val="0"/>
        <w:adjustRightInd w:val="0"/>
        <w:snapToGrid w:val="0"/>
        <w:spacing w:before="0" w:beforeLines="0" w:after="0" w:afterLines="0"/>
        <w:ind w:firstLine="0" w:firstLineChars="0"/>
        <w:jc w:val="both"/>
        <w:textAlignment w:val="auto"/>
        <w:outlineLvl w:val="9"/>
        <w:rPr>
          <w:rFonts w:hint="eastAsia" w:ascii="宋体" w:hAnsi="宋体" w:eastAsia="宋体"/>
          <w:color w:val="auto"/>
          <w:szCs w:val="24"/>
          <w:lang w:eastAsia="zh-CN"/>
        </w:rPr>
      </w:pPr>
      <w:r>
        <w:rPr>
          <w:rFonts w:hint="eastAsia" w:ascii="黑体" w:hAnsi="黑体" w:eastAsia="黑体" w:cs="黑体"/>
          <w:color w:val="auto"/>
          <w:kern w:val="2"/>
          <w:sz w:val="21"/>
          <w:szCs w:val="24"/>
          <w:lang w:val="en-US" w:eastAsia="zh-CN" w:bidi="ar-SA"/>
        </w:rPr>
        <w:t xml:space="preserve">6.5.1 </w:t>
      </w:r>
      <w:r>
        <w:rPr>
          <w:rFonts w:hint="eastAsia" w:ascii="宋体" w:hAnsi="宋体" w:eastAsia="宋体" w:cs="Times New Roman"/>
          <w:color w:val="auto"/>
          <w:kern w:val="2"/>
          <w:sz w:val="21"/>
          <w:szCs w:val="24"/>
          <w:lang w:val="en-US" w:eastAsia="zh-CN" w:bidi="ar-SA"/>
        </w:rPr>
        <w:t>内容</w:t>
      </w:r>
      <w:r>
        <w:rPr>
          <w:rFonts w:hint="eastAsia" w:ascii="宋体" w:hAnsi="宋体" w:eastAsia="宋体" w:cs="宋体"/>
          <w:color w:val="auto"/>
          <w:kern w:val="2"/>
          <w:sz w:val="21"/>
          <w:szCs w:val="24"/>
          <w:lang w:val="en-US" w:eastAsia="zh-CN" w:bidi="ar-SA"/>
        </w:rPr>
        <w:t>应</w:t>
      </w:r>
      <w:r>
        <w:rPr>
          <w:rFonts w:hint="eastAsia" w:ascii="宋体" w:hAnsi="宋体" w:eastAsia="宋体" w:cs="Times New Roman"/>
          <w:color w:val="auto"/>
          <w:kern w:val="2"/>
          <w:sz w:val="21"/>
          <w:szCs w:val="24"/>
          <w:lang w:val="en-US" w:eastAsia="zh-CN" w:bidi="ar-SA"/>
        </w:rPr>
        <w:t>包括</w:t>
      </w:r>
      <w:r>
        <w:rPr>
          <w:rFonts w:hint="eastAsia" w:ascii="宋体" w:hAnsi="宋体" w:eastAsia="宋体"/>
          <w:color w:val="auto"/>
          <w:sz w:val="21"/>
          <w:szCs w:val="24"/>
          <w:lang w:eastAsia="zh-CN"/>
        </w:rPr>
        <w:t>当年发生的上级生态环境部门或当地党委政府领导到本地调研情况、</w:t>
      </w:r>
      <w:r>
        <w:rPr>
          <w:rFonts w:hint="eastAsia" w:ascii="宋体" w:hAnsi="宋体" w:eastAsia="宋体" w:cs="Times New Roman"/>
          <w:color w:val="auto"/>
          <w:sz w:val="21"/>
          <w:szCs w:val="24"/>
          <w:lang w:eastAsia="zh-CN"/>
        </w:rPr>
        <w:t>省级（市级或县级）生态环境部门开展的重要</w:t>
      </w:r>
      <w:r>
        <w:rPr>
          <w:rFonts w:hint="eastAsia" w:ascii="宋体" w:hAnsi="宋体" w:eastAsia="宋体"/>
          <w:color w:val="auto"/>
          <w:sz w:val="21"/>
          <w:szCs w:val="24"/>
          <w:lang w:eastAsia="zh-CN"/>
        </w:rPr>
        <w:t>工作</w:t>
      </w:r>
      <w:r>
        <w:rPr>
          <w:rFonts w:hint="eastAsia" w:ascii="宋体" w:hAnsi="宋体" w:eastAsia="宋体" w:cs="Times New Roman"/>
          <w:color w:val="auto"/>
          <w:kern w:val="2"/>
          <w:sz w:val="21"/>
          <w:szCs w:val="24"/>
          <w:lang w:val="en-US" w:eastAsia="zh-CN" w:bidi="ar-SA"/>
        </w:rPr>
        <w:t>。</w:t>
      </w:r>
    </w:p>
    <w:p w14:paraId="69F647BE">
      <w:pPr>
        <w:widowControl w:val="0"/>
        <w:numPr>
          <w:ilvl w:val="0"/>
          <w:numId w:val="0"/>
        </w:numPr>
        <w:adjustRightInd w:val="0"/>
        <w:snapToGrid w:val="0"/>
        <w:spacing w:beforeLines="0" w:afterLines="0"/>
        <w:ind w:firstLine="0" w:firstLineChars="0"/>
        <w:outlineLvl w:val="9"/>
        <w:rPr>
          <w:rFonts w:hint="eastAsia"/>
        </w:rPr>
      </w:pPr>
      <w:r>
        <w:rPr>
          <w:rFonts w:hint="eastAsia" w:ascii="黑体" w:hAnsi="黑体" w:eastAsia="黑体" w:cs="黑体"/>
          <w:color w:val="auto"/>
          <w:sz w:val="21"/>
          <w:szCs w:val="24"/>
          <w:lang w:val="en-US" w:eastAsia="zh-CN"/>
        </w:rPr>
        <w:t xml:space="preserve">6.5.2 </w:t>
      </w:r>
      <w:r>
        <w:rPr>
          <w:rFonts w:hint="eastAsia" w:ascii="宋体" w:hAnsi="宋体" w:eastAsia="宋体"/>
          <w:color w:val="auto"/>
          <w:sz w:val="21"/>
          <w:szCs w:val="24"/>
          <w:lang w:eastAsia="zh-CN"/>
        </w:rPr>
        <w:t>大事记采用逐月按日记载</w:t>
      </w:r>
      <w:r>
        <w:rPr>
          <w:rFonts w:hint="eastAsia" w:ascii="宋体" w:hAnsi="宋体" w:eastAsia="宋体" w:cs="Times New Roman"/>
          <w:color w:val="auto"/>
          <w:sz w:val="21"/>
          <w:szCs w:val="24"/>
          <w:lang w:eastAsia="zh-CN"/>
        </w:rPr>
        <w:t>全省（全市或全县）重要生态环境工作事务。</w:t>
      </w:r>
    </w:p>
    <w:p w14:paraId="1C2E3EB3">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eastAsia="黑体" w:cs="黑体"/>
          <w:color w:val="auto"/>
        </w:rPr>
      </w:pPr>
      <w:r>
        <w:rPr>
          <w:rFonts w:hint="eastAsia" w:cs="黑体"/>
          <w:color w:val="auto"/>
          <w:lang w:eastAsia="zh-CN"/>
        </w:rPr>
        <w:t>编写说明</w:t>
      </w:r>
    </w:p>
    <w:p w14:paraId="6894FD66">
      <w:pPr>
        <w:pStyle w:val="41"/>
        <w:pageBreakBefore w:val="0"/>
        <w:numPr>
          <w:ilvl w:val="-1"/>
          <w:numId w:val="0"/>
        </w:numPr>
        <w:tabs>
          <w:tab w:val="left" w:pos="0"/>
        </w:tabs>
        <w:kinsoku/>
        <w:wordWrap/>
        <w:overflowPunct/>
        <w:topLinePunct w:val="0"/>
        <w:bidi w:val="0"/>
        <w:adjustRightInd w:val="0"/>
        <w:snapToGrid w:val="0"/>
        <w:spacing w:before="0" w:beforeLines="0" w:after="0" w:afterLines="0"/>
        <w:ind w:left="0" w:firstLine="420" w:firstLineChars="200"/>
        <w:jc w:val="both"/>
        <w:textAlignment w:val="auto"/>
        <w:outlineLvl w:val="9"/>
        <w:rPr>
          <w:rFonts w:hint="eastAsia" w:ascii="宋体" w:hAnsi="宋体" w:eastAsia="宋体"/>
          <w:color w:val="auto"/>
          <w:szCs w:val="24"/>
        </w:rPr>
      </w:pPr>
      <w:r>
        <w:rPr>
          <w:rFonts w:hint="eastAsia" w:ascii="宋体" w:hAnsi="宋体" w:eastAsia="宋体"/>
          <w:color w:val="auto"/>
          <w:szCs w:val="24"/>
        </w:rPr>
        <w:t>为了便于</w:t>
      </w:r>
      <w:r>
        <w:rPr>
          <w:rFonts w:hint="eastAsia" w:ascii="宋体" w:hAnsi="宋体" w:eastAsia="宋体"/>
          <w:color w:val="auto"/>
          <w:szCs w:val="24"/>
          <w:lang w:eastAsia="zh-CN"/>
        </w:rPr>
        <w:t>公众</w:t>
      </w:r>
      <w:r>
        <w:rPr>
          <w:rFonts w:hint="eastAsia" w:ascii="宋体" w:hAnsi="宋体" w:eastAsia="宋体"/>
          <w:color w:val="auto"/>
          <w:szCs w:val="24"/>
        </w:rPr>
        <w:t>理解和了解</w:t>
      </w:r>
      <w:r>
        <w:rPr>
          <w:rFonts w:hint="eastAsia" w:ascii="宋体" w:hAnsi="宋体" w:eastAsia="宋体"/>
          <w:color w:val="auto"/>
          <w:szCs w:val="24"/>
          <w:lang w:eastAsia="zh-CN"/>
        </w:rPr>
        <w:t>生态环境</w:t>
      </w:r>
      <w:r>
        <w:rPr>
          <w:rFonts w:hint="eastAsia" w:ascii="宋体" w:hAnsi="宋体" w:eastAsia="宋体"/>
          <w:color w:val="auto"/>
          <w:szCs w:val="24"/>
        </w:rPr>
        <w:t>状况公报内容，</w:t>
      </w:r>
      <w:r>
        <w:rPr>
          <w:rFonts w:hint="eastAsia" w:ascii="宋体" w:hAnsi="宋体" w:eastAsia="宋体"/>
          <w:color w:val="auto"/>
          <w:szCs w:val="24"/>
          <w:lang w:val="en-US" w:eastAsia="zh-CN"/>
        </w:rPr>
        <w:t>宜</w:t>
      </w:r>
      <w:r>
        <w:rPr>
          <w:rFonts w:hint="eastAsia" w:ascii="宋体" w:hAnsi="宋体" w:eastAsia="宋体"/>
          <w:color w:val="auto"/>
          <w:szCs w:val="24"/>
        </w:rPr>
        <w:t>对公报中使用的</w:t>
      </w:r>
      <w:r>
        <w:rPr>
          <w:rFonts w:hint="eastAsia" w:ascii="宋体" w:hAnsi="宋体" w:eastAsia="宋体"/>
          <w:color w:val="auto"/>
          <w:szCs w:val="24"/>
          <w:lang w:eastAsia="zh-CN"/>
        </w:rPr>
        <w:t>资料来源、编制人员、审图号等信息</w:t>
      </w:r>
      <w:r>
        <w:rPr>
          <w:rFonts w:hint="eastAsia" w:ascii="宋体" w:hAnsi="宋体" w:eastAsia="宋体"/>
          <w:color w:val="auto"/>
          <w:szCs w:val="24"/>
        </w:rPr>
        <w:t>给予必要说明。</w:t>
      </w:r>
    </w:p>
    <w:p w14:paraId="2C019857">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eastAsia="黑体" w:cs="黑体"/>
          <w:color w:val="auto"/>
        </w:rPr>
      </w:pPr>
      <w:r>
        <w:rPr>
          <w:rFonts w:hint="eastAsia" w:cs="黑体"/>
          <w:color w:val="auto"/>
          <w:lang w:eastAsia="zh-CN"/>
        </w:rPr>
        <w:t>封底</w:t>
      </w:r>
    </w:p>
    <w:p w14:paraId="44CA5363">
      <w:pPr>
        <w:pStyle w:val="41"/>
        <w:pageBreakBefore w:val="0"/>
        <w:tabs>
          <w:tab w:val="left" w:pos="0"/>
        </w:tabs>
        <w:kinsoku/>
        <w:wordWrap/>
        <w:overflowPunct/>
        <w:topLinePunct w:val="0"/>
        <w:bidi w:val="0"/>
        <w:adjustRightInd w:val="0"/>
        <w:snapToGrid w:val="0"/>
        <w:spacing w:beforeLines="0" w:afterLines="0"/>
        <w:ind w:firstLine="420" w:firstLineChars="200"/>
        <w:textAlignment w:val="auto"/>
        <w:outlineLvl w:val="9"/>
        <w:rPr>
          <w:rFonts w:hint="eastAsia" w:ascii="宋体" w:hAnsi="宋体" w:eastAsia="宋体"/>
          <w:color w:val="auto"/>
          <w:szCs w:val="24"/>
        </w:rPr>
      </w:pPr>
      <w:r>
        <w:rPr>
          <w:rFonts w:hint="eastAsia" w:ascii="宋体" w:hAnsi="宋体" w:eastAsia="宋体"/>
          <w:color w:val="auto"/>
          <w:szCs w:val="24"/>
        </w:rPr>
        <w:t>可注明</w:t>
      </w:r>
      <w:r>
        <w:rPr>
          <w:rFonts w:hint="eastAsia" w:ascii="宋体" w:hAnsi="宋体" w:eastAsia="宋体"/>
          <w:color w:val="auto"/>
          <w:szCs w:val="24"/>
          <w:lang w:eastAsia="zh-CN"/>
        </w:rPr>
        <w:t>生态环境</w:t>
      </w:r>
      <w:r>
        <w:rPr>
          <w:rFonts w:hint="eastAsia" w:ascii="宋体" w:hAnsi="宋体" w:eastAsia="宋体"/>
          <w:color w:val="auto"/>
          <w:szCs w:val="24"/>
        </w:rPr>
        <w:t>状况公报发布单位的通</w:t>
      </w:r>
      <w:r>
        <w:rPr>
          <w:rFonts w:hint="eastAsia" w:ascii="宋体" w:hAnsi="宋体" w:eastAsia="宋体"/>
          <w:color w:val="auto"/>
          <w:szCs w:val="24"/>
          <w:lang w:val="en-US" w:eastAsia="zh-CN"/>
        </w:rPr>
        <w:t>讯</w:t>
      </w:r>
      <w:r>
        <w:rPr>
          <w:rFonts w:hint="eastAsia" w:ascii="宋体" w:hAnsi="宋体" w:eastAsia="宋体"/>
          <w:color w:val="auto"/>
          <w:szCs w:val="24"/>
        </w:rPr>
        <w:t>地址、邮编、电话等相关信息。</w:t>
      </w:r>
    </w:p>
    <w:p w14:paraId="66088931">
      <w:pPr>
        <w:pStyle w:val="38"/>
        <w:pageBreakBefore w:val="0"/>
        <w:numPr>
          <w:ilvl w:val="1"/>
          <w:numId w:val="1"/>
        </w:numPr>
        <w:kinsoku/>
        <w:wordWrap/>
        <w:overflowPunct/>
        <w:topLinePunct w:val="0"/>
        <w:bidi w:val="0"/>
        <w:adjustRightInd w:val="0"/>
        <w:snapToGrid w:val="0"/>
        <w:spacing w:before="387" w:after="387"/>
        <w:textAlignment w:val="auto"/>
        <w:rPr>
          <w:rFonts w:ascii="Times New Roman"/>
          <w:color w:val="auto"/>
        </w:rPr>
      </w:pPr>
      <w:bookmarkStart w:id="130" w:name="_Toc11035"/>
      <w:bookmarkStart w:id="131" w:name="_Toc8322"/>
      <w:r>
        <w:rPr>
          <w:rFonts w:hint="eastAsia" w:ascii="Times New Roman"/>
          <w:color w:val="auto"/>
          <w:lang w:eastAsia="zh-CN"/>
        </w:rPr>
        <w:t>其他要求</w:t>
      </w:r>
      <w:bookmarkEnd w:id="130"/>
      <w:bookmarkEnd w:id="131"/>
    </w:p>
    <w:p w14:paraId="5B52D349">
      <w:pPr>
        <w:pStyle w:val="41"/>
        <w:pageBreakBefore w:val="0"/>
        <w:numPr>
          <w:ilvl w:val="2"/>
          <w:numId w:val="1"/>
        </w:numPr>
        <w:kinsoku/>
        <w:wordWrap/>
        <w:overflowPunct/>
        <w:topLinePunct w:val="0"/>
        <w:bidi w:val="0"/>
        <w:adjustRightInd w:val="0"/>
        <w:snapToGrid w:val="0"/>
        <w:spacing w:before="193" w:after="193"/>
        <w:jc w:val="both"/>
        <w:textAlignment w:val="auto"/>
        <w:rPr>
          <w:rFonts w:ascii="Times New Roman" w:hAnsi="Times New Roman"/>
          <w:color w:val="auto"/>
        </w:rPr>
      </w:pPr>
      <w:r>
        <w:rPr>
          <w:rFonts w:hint="eastAsia" w:ascii="Times New Roman" w:hAnsi="Times New Roman"/>
          <w:color w:val="auto"/>
          <w:lang w:eastAsia="zh-CN"/>
        </w:rPr>
        <w:t>资料来源</w:t>
      </w:r>
    </w:p>
    <w:p w14:paraId="71BC7DD5">
      <w:pPr>
        <w:pStyle w:val="41"/>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s="Times New Roman"/>
          <w:color w:val="auto"/>
          <w:kern w:val="0"/>
          <w:sz w:val="21"/>
          <w:szCs w:val="24"/>
          <w:lang w:val="en-US" w:eastAsia="zh-CN" w:bidi="ar-SA"/>
        </w:rPr>
      </w:pPr>
      <w:r>
        <w:rPr>
          <w:rFonts w:hint="eastAsia" w:ascii="宋体" w:hAnsi="宋体" w:eastAsia="宋体"/>
          <w:color w:val="auto"/>
          <w:kern w:val="0"/>
          <w:szCs w:val="24"/>
        </w:rPr>
        <w:t>应</w:t>
      </w:r>
      <w:r>
        <w:rPr>
          <w:rFonts w:hint="eastAsia" w:ascii="宋体" w:hAnsi="宋体" w:eastAsia="宋体"/>
          <w:color w:val="auto"/>
          <w:kern w:val="0"/>
          <w:szCs w:val="24"/>
          <w:lang w:eastAsia="zh-CN"/>
        </w:rPr>
        <w:t>来源于发布单位</w:t>
      </w:r>
      <w:r>
        <w:rPr>
          <w:rFonts w:hint="eastAsia" w:ascii="宋体" w:hAnsi="宋体" w:eastAsia="宋体"/>
          <w:color w:val="auto"/>
          <w:kern w:val="0"/>
          <w:szCs w:val="24"/>
          <w:lang w:val="en-US" w:eastAsia="zh-CN"/>
        </w:rPr>
        <w:t>及</w:t>
      </w:r>
      <w:r>
        <w:rPr>
          <w:rFonts w:hint="eastAsia" w:ascii="宋体" w:hAnsi="宋体" w:eastAsia="宋体"/>
          <w:color w:val="auto"/>
          <w:kern w:val="0"/>
          <w:szCs w:val="24"/>
          <w:lang w:eastAsia="zh-CN"/>
        </w:rPr>
        <w:t>发布单位同级别相关政府职能部门提供的</w:t>
      </w:r>
      <w:r>
        <w:rPr>
          <w:rFonts w:hint="eastAsia" w:ascii="宋体" w:hAnsi="宋体" w:eastAsia="宋体"/>
          <w:color w:val="auto"/>
          <w:kern w:val="0"/>
          <w:szCs w:val="24"/>
          <w:lang w:val="en-US" w:eastAsia="zh-CN"/>
        </w:rPr>
        <w:t>各类生态环境状况相关</w:t>
      </w:r>
      <w:r>
        <w:rPr>
          <w:rFonts w:hint="eastAsia" w:ascii="宋体" w:hAnsi="宋体" w:eastAsia="宋体"/>
          <w:color w:val="auto"/>
          <w:kern w:val="0"/>
          <w:szCs w:val="24"/>
          <w:lang w:eastAsia="zh-CN"/>
        </w:rPr>
        <w:t>数据</w:t>
      </w:r>
      <w:r>
        <w:rPr>
          <w:rFonts w:hint="eastAsia" w:ascii="宋体" w:hAnsi="宋体" w:eastAsia="宋体"/>
          <w:color w:val="auto"/>
          <w:kern w:val="0"/>
          <w:szCs w:val="24"/>
          <w:lang w:val="en-US" w:eastAsia="zh-CN"/>
        </w:rPr>
        <w:t>资料</w:t>
      </w:r>
      <w:r>
        <w:rPr>
          <w:rFonts w:hint="eastAsia" w:ascii="宋体" w:hAnsi="宋体" w:eastAsia="宋体"/>
          <w:color w:val="auto"/>
          <w:kern w:val="0"/>
          <w:szCs w:val="24"/>
        </w:rPr>
        <w:t>。</w:t>
      </w:r>
    </w:p>
    <w:p w14:paraId="7AF41802">
      <w:pPr>
        <w:pStyle w:val="41"/>
        <w:keepNext w:val="0"/>
        <w:keepLines w:val="0"/>
        <w:pageBreakBefore w:val="0"/>
        <w:widowControl w:val="0"/>
        <w:numPr>
          <w:ilvl w:val="-1"/>
          <w:numId w:val="0"/>
        </w:numPr>
        <w:tabs>
          <w:tab w:val="left" w:pos="0"/>
        </w:tabs>
        <w:kinsoku/>
        <w:wordWrap/>
        <w:overflowPunct/>
        <w:topLinePunct w:val="0"/>
        <w:autoSpaceDE/>
        <w:autoSpaceDN/>
        <w:bidi w:val="0"/>
        <w:adjustRightInd w:val="0"/>
        <w:snapToGrid w:val="0"/>
        <w:spacing w:before="0" w:beforeLines="0" w:after="0" w:afterLines="0" w:line="240" w:lineRule="auto"/>
        <w:ind w:left="0" w:right="0" w:rightChars="0" w:firstLine="0" w:firstLineChars="0"/>
        <w:jc w:val="both"/>
        <w:textAlignment w:val="auto"/>
        <w:outlineLvl w:val="9"/>
        <w:rPr>
          <w:rFonts w:hint="eastAsia" w:ascii="宋体" w:hAnsi="宋体" w:eastAsia="宋体"/>
          <w:color w:val="auto"/>
          <w:szCs w:val="24"/>
        </w:rPr>
      </w:pPr>
      <w:r>
        <w:rPr>
          <w:rFonts w:hint="eastAsia" w:ascii="黑体" w:hAnsi="黑体" w:eastAsia="黑体" w:cs="黑体"/>
          <w:color w:val="auto"/>
          <w:kern w:val="2"/>
          <w:szCs w:val="24"/>
          <w:lang w:val="en-US" w:eastAsia="zh-CN"/>
        </w:rPr>
        <w:t xml:space="preserve">7.1.2  </w:t>
      </w:r>
      <w:r>
        <w:rPr>
          <w:rFonts w:hint="eastAsia" w:ascii="宋体" w:hAnsi="宋体" w:eastAsia="宋体"/>
          <w:color w:val="auto"/>
          <w:kern w:val="2"/>
          <w:szCs w:val="24"/>
          <w:lang w:eastAsia="zh-CN"/>
        </w:rPr>
        <w:t>数据应科学、准确，经过质量控制。</w:t>
      </w:r>
    </w:p>
    <w:p w14:paraId="1F4CF98D">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eastAsia="黑体" w:cs="黑体"/>
          <w:color w:val="auto"/>
        </w:rPr>
      </w:pPr>
      <w:r>
        <w:rPr>
          <w:rFonts w:hint="eastAsia" w:cs="黑体"/>
          <w:color w:val="auto"/>
          <w:lang w:eastAsia="zh-CN"/>
        </w:rPr>
        <w:t>图</w:t>
      </w:r>
    </w:p>
    <w:p w14:paraId="3B13EC46">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用法</w:t>
      </w:r>
    </w:p>
    <w:p w14:paraId="3B78EE10">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如果用</w:t>
      </w:r>
      <w:r>
        <w:rPr>
          <w:rFonts w:hint="eastAsia" w:ascii="宋体" w:hAnsi="宋体" w:eastAsia="宋体"/>
          <w:color w:val="auto"/>
          <w:kern w:val="2"/>
          <w:sz w:val="21"/>
          <w:szCs w:val="24"/>
          <w:lang w:val="en-US" w:eastAsia="zh-CN"/>
        </w:rPr>
        <w:t>图</w:t>
      </w:r>
      <w:r>
        <w:rPr>
          <w:rFonts w:hint="eastAsia" w:ascii="宋体" w:hAnsi="宋体" w:eastAsia="宋体"/>
          <w:color w:val="auto"/>
          <w:kern w:val="2"/>
          <w:sz w:val="21"/>
          <w:szCs w:val="24"/>
        </w:rPr>
        <w:t>更有利于</w:t>
      </w:r>
      <w:r>
        <w:rPr>
          <w:rFonts w:hint="eastAsia" w:ascii="宋体" w:hAnsi="宋体" w:eastAsia="宋体"/>
          <w:color w:val="auto"/>
          <w:kern w:val="2"/>
          <w:sz w:val="21"/>
          <w:szCs w:val="24"/>
          <w:lang w:val="en-US" w:eastAsia="zh-CN"/>
        </w:rPr>
        <w:t>对</w:t>
      </w:r>
      <w:r>
        <w:rPr>
          <w:rFonts w:hint="eastAsia" w:ascii="宋体" w:hAnsi="宋体" w:eastAsia="宋体"/>
          <w:color w:val="auto"/>
          <w:kern w:val="2"/>
          <w:sz w:val="21"/>
          <w:szCs w:val="24"/>
        </w:rPr>
        <w:t>生态环境状况公报正文</w:t>
      </w:r>
      <w:r>
        <w:rPr>
          <w:rFonts w:hint="eastAsia" w:ascii="宋体" w:hAnsi="宋体" w:eastAsia="宋体"/>
          <w:color w:val="auto"/>
          <w:kern w:val="2"/>
          <w:sz w:val="21"/>
          <w:szCs w:val="24"/>
          <w:lang w:val="en-US" w:eastAsia="zh-CN"/>
        </w:rPr>
        <w:t>理解</w:t>
      </w:r>
      <w:r>
        <w:rPr>
          <w:rFonts w:hint="eastAsia" w:ascii="宋体" w:hAnsi="宋体" w:eastAsia="宋体"/>
          <w:color w:val="auto"/>
          <w:kern w:val="2"/>
          <w:sz w:val="21"/>
          <w:szCs w:val="24"/>
        </w:rPr>
        <w:t>，宜使用</w:t>
      </w:r>
      <w:r>
        <w:rPr>
          <w:rFonts w:hint="eastAsia" w:ascii="宋体" w:hAnsi="宋体" w:eastAsia="宋体"/>
          <w:color w:val="auto"/>
          <w:kern w:val="2"/>
          <w:sz w:val="21"/>
          <w:szCs w:val="24"/>
          <w:lang w:val="en-US" w:eastAsia="zh-CN"/>
        </w:rPr>
        <w:t>图</w:t>
      </w:r>
      <w:r>
        <w:rPr>
          <w:rFonts w:hint="eastAsia" w:ascii="宋体" w:hAnsi="宋体" w:eastAsia="宋体"/>
          <w:color w:val="auto"/>
          <w:kern w:val="2"/>
          <w:sz w:val="21"/>
          <w:szCs w:val="24"/>
        </w:rPr>
        <w:t>。</w:t>
      </w:r>
    </w:p>
    <w:p w14:paraId="5EBA9FA3">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lang w:eastAsia="zh-CN"/>
        </w:rPr>
      </w:pPr>
      <w:r>
        <w:rPr>
          <w:rFonts w:hint="eastAsia" w:ascii="宋体" w:hAnsi="宋体" w:eastAsia="宋体"/>
          <w:color w:val="auto"/>
          <w:kern w:val="2"/>
          <w:sz w:val="21"/>
          <w:szCs w:val="24"/>
        </w:rPr>
        <w:t>每幅图在正文中均应明确提及。</w:t>
      </w:r>
    </w:p>
    <w:p w14:paraId="1FFF76CF">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编号</w:t>
      </w:r>
    </w:p>
    <w:p w14:paraId="54BB3485">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每幅图均应有编号</w:t>
      </w:r>
      <w:r>
        <w:rPr>
          <w:rFonts w:hint="eastAsia" w:ascii="宋体" w:hAnsi="宋体" w:eastAsia="宋体"/>
          <w:color w:val="auto"/>
          <w:kern w:val="2"/>
          <w:sz w:val="21"/>
          <w:szCs w:val="24"/>
          <w:lang w:eastAsia="zh-CN"/>
        </w:rPr>
        <w:t>。</w:t>
      </w:r>
    </w:p>
    <w:p w14:paraId="76631DB4">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图</w:t>
      </w:r>
      <w:r>
        <w:rPr>
          <w:rFonts w:hint="eastAsia" w:ascii="宋体" w:hAnsi="宋体" w:eastAsia="宋体"/>
          <w:color w:val="auto"/>
          <w:kern w:val="2"/>
          <w:sz w:val="21"/>
          <w:szCs w:val="24"/>
          <w:lang w:eastAsia="zh-CN"/>
        </w:rPr>
        <w:t>的</w:t>
      </w:r>
      <w:r>
        <w:rPr>
          <w:rFonts w:hint="eastAsia" w:ascii="宋体" w:hAnsi="宋体" w:eastAsia="宋体"/>
          <w:color w:val="auto"/>
          <w:kern w:val="2"/>
          <w:sz w:val="21"/>
          <w:szCs w:val="24"/>
        </w:rPr>
        <w:t>编号</w:t>
      </w:r>
      <w:r>
        <w:rPr>
          <w:rFonts w:hint="eastAsia" w:ascii="宋体" w:hAnsi="宋体" w:eastAsia="宋体"/>
          <w:color w:val="auto"/>
          <w:kern w:val="2"/>
          <w:sz w:val="21"/>
          <w:szCs w:val="24"/>
          <w:lang w:val="en-US" w:eastAsia="zh-CN"/>
        </w:rPr>
        <w:t>应</w:t>
      </w:r>
      <w:r>
        <w:rPr>
          <w:rFonts w:hint="eastAsia" w:ascii="宋体" w:hAnsi="宋体" w:eastAsia="宋体"/>
          <w:color w:val="auto"/>
          <w:kern w:val="2"/>
          <w:sz w:val="21"/>
          <w:szCs w:val="24"/>
        </w:rPr>
        <w:t>由“图”</w:t>
      </w:r>
      <w:r>
        <w:rPr>
          <w:rFonts w:hint="eastAsia" w:ascii="宋体" w:hAnsi="宋体" w:eastAsia="宋体"/>
          <w:color w:val="auto"/>
          <w:kern w:val="2"/>
          <w:sz w:val="21"/>
          <w:szCs w:val="24"/>
          <w:lang w:val="en-US" w:eastAsia="zh-CN"/>
        </w:rPr>
        <w:t>字</w:t>
      </w:r>
      <w:r>
        <w:rPr>
          <w:rFonts w:hint="eastAsia" w:ascii="宋体" w:hAnsi="宋体" w:eastAsia="宋体"/>
          <w:color w:val="auto"/>
          <w:kern w:val="2"/>
          <w:sz w:val="21"/>
          <w:szCs w:val="24"/>
        </w:rPr>
        <w:t>和从1开始的阿拉伯数字组成，例如“图1</w:t>
      </w:r>
      <w:r>
        <w:rPr>
          <w:rFonts w:hint="eastAsia" w:ascii="宋体" w:hAnsi="宋体" w:eastAsia="宋体"/>
          <w:color w:val="auto"/>
          <w:kern w:val="2"/>
          <w:sz w:val="21"/>
          <w:szCs w:val="24"/>
          <w:lang w:eastAsia="zh-CN"/>
        </w:rPr>
        <w:t>”</w:t>
      </w:r>
      <w:r>
        <w:rPr>
          <w:rFonts w:hint="eastAsia" w:ascii="宋体" w:hAnsi="宋体" w:eastAsia="宋体"/>
          <w:color w:val="auto"/>
          <w:kern w:val="2"/>
          <w:sz w:val="21"/>
          <w:szCs w:val="24"/>
        </w:rPr>
        <w:t>“图2”</w:t>
      </w:r>
      <w:r>
        <w:rPr>
          <w:rFonts w:hint="eastAsia" w:ascii="宋体" w:hAnsi="宋体" w:eastAsia="宋体"/>
          <w:color w:val="auto"/>
          <w:kern w:val="2"/>
          <w:sz w:val="21"/>
          <w:szCs w:val="24"/>
          <w:lang w:val="en-US" w:eastAsia="zh-CN"/>
        </w:rPr>
        <w:t>等</w:t>
      </w:r>
      <w:r>
        <w:rPr>
          <w:rFonts w:hint="eastAsia" w:ascii="宋体" w:hAnsi="宋体" w:eastAsia="宋体"/>
          <w:color w:val="auto"/>
          <w:kern w:val="2"/>
          <w:sz w:val="21"/>
          <w:szCs w:val="24"/>
        </w:rPr>
        <w:t>。</w:t>
      </w:r>
    </w:p>
    <w:p w14:paraId="66B9FC23">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图</w:t>
      </w:r>
      <w:r>
        <w:rPr>
          <w:rFonts w:hint="eastAsia" w:ascii="宋体" w:hAnsi="宋体" w:eastAsia="宋体"/>
          <w:color w:val="auto"/>
          <w:kern w:val="2"/>
          <w:sz w:val="21"/>
          <w:szCs w:val="24"/>
          <w:lang w:eastAsia="zh-CN"/>
        </w:rPr>
        <w:t>的</w:t>
      </w:r>
      <w:r>
        <w:rPr>
          <w:rFonts w:hint="eastAsia" w:ascii="宋体" w:hAnsi="宋体" w:eastAsia="宋体"/>
          <w:color w:val="auto"/>
          <w:kern w:val="2"/>
          <w:sz w:val="21"/>
          <w:szCs w:val="24"/>
        </w:rPr>
        <w:t>编号</w:t>
      </w:r>
      <w:r>
        <w:rPr>
          <w:rFonts w:hint="eastAsia" w:ascii="宋体" w:hAnsi="宋体" w:eastAsia="宋体"/>
          <w:color w:val="auto"/>
          <w:kern w:val="2"/>
          <w:sz w:val="21"/>
          <w:szCs w:val="24"/>
          <w:lang w:val="en-US" w:eastAsia="zh-CN"/>
        </w:rPr>
        <w:t>应</w:t>
      </w:r>
      <w:r>
        <w:rPr>
          <w:rFonts w:hint="eastAsia" w:ascii="宋体" w:hAnsi="宋体" w:eastAsia="宋体"/>
          <w:color w:val="auto"/>
          <w:kern w:val="2"/>
          <w:sz w:val="21"/>
          <w:szCs w:val="24"/>
        </w:rPr>
        <w:t>一直连续，并与章节</w:t>
      </w:r>
      <w:r>
        <w:rPr>
          <w:rFonts w:hint="eastAsia" w:ascii="宋体" w:hAnsi="宋体" w:eastAsia="宋体"/>
          <w:color w:val="auto"/>
          <w:kern w:val="2"/>
          <w:sz w:val="21"/>
          <w:szCs w:val="24"/>
          <w:lang w:eastAsia="zh-CN"/>
        </w:rPr>
        <w:t>和表的</w:t>
      </w:r>
      <w:r>
        <w:rPr>
          <w:rFonts w:hint="eastAsia" w:ascii="宋体" w:hAnsi="宋体" w:eastAsia="宋体"/>
          <w:color w:val="auto"/>
          <w:kern w:val="2"/>
          <w:sz w:val="21"/>
          <w:szCs w:val="24"/>
        </w:rPr>
        <w:t>编号无关。</w:t>
      </w:r>
    </w:p>
    <w:p w14:paraId="6EDF49B9">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只有一幅图时，仍应标为“图1</w:t>
      </w:r>
      <w:r>
        <w:rPr>
          <w:rFonts w:hint="eastAsia" w:ascii="宋体" w:hAnsi="宋体" w:eastAsia="宋体"/>
          <w:color w:val="auto"/>
          <w:kern w:val="2"/>
          <w:sz w:val="21"/>
          <w:szCs w:val="24"/>
          <w:lang w:eastAsia="zh-CN"/>
        </w:rPr>
        <w:t>”</w:t>
      </w:r>
      <w:r>
        <w:rPr>
          <w:rFonts w:hint="eastAsia" w:ascii="宋体" w:hAnsi="宋体" w:eastAsia="宋体"/>
          <w:color w:val="auto"/>
          <w:kern w:val="2"/>
          <w:sz w:val="21"/>
          <w:szCs w:val="24"/>
        </w:rPr>
        <w:t>。</w:t>
      </w:r>
    </w:p>
    <w:p w14:paraId="50CE80C0">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图题</w:t>
      </w:r>
    </w:p>
    <w:p w14:paraId="05682995">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图题即图的名称。每幅图宜有图题，并置于图的编号之后。</w:t>
      </w:r>
    </w:p>
    <w:p w14:paraId="499E0D50">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Cs w:val="24"/>
        </w:rPr>
      </w:pPr>
      <w:r>
        <w:rPr>
          <w:rFonts w:hint="eastAsia" w:ascii="宋体" w:hAnsi="宋体" w:eastAsia="宋体"/>
          <w:color w:val="auto"/>
          <w:kern w:val="2"/>
          <w:sz w:val="21"/>
          <w:szCs w:val="24"/>
        </w:rPr>
        <w:t>图的编号和图题置于图下方的居中位置</w:t>
      </w:r>
      <w:r>
        <w:rPr>
          <w:rFonts w:hint="eastAsia" w:ascii="宋体" w:hAnsi="宋体" w:eastAsia="宋体"/>
          <w:color w:val="auto"/>
          <w:kern w:val="2"/>
          <w:sz w:val="21"/>
          <w:szCs w:val="24"/>
          <w:lang w:eastAsia="zh-CN"/>
        </w:rPr>
        <w:t>，每幅图与其前面的正文均宜空一行。</w:t>
      </w:r>
    </w:p>
    <w:p w14:paraId="00062A4D">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eastAsia="黑体" w:cs="黑体"/>
          <w:color w:val="auto"/>
        </w:rPr>
      </w:pPr>
      <w:r>
        <w:rPr>
          <w:rFonts w:hint="eastAsia" w:cs="黑体"/>
          <w:color w:val="auto"/>
          <w:lang w:eastAsia="zh-CN"/>
        </w:rPr>
        <w:t>表</w:t>
      </w:r>
    </w:p>
    <w:p w14:paraId="264C58F2">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用法</w:t>
      </w:r>
    </w:p>
    <w:p w14:paraId="3E7BD8DD">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如果用表提供信息更有利于</w:t>
      </w:r>
      <w:r>
        <w:rPr>
          <w:rFonts w:hint="eastAsia" w:ascii="宋体" w:hAnsi="宋体" w:eastAsia="宋体"/>
          <w:color w:val="auto"/>
          <w:kern w:val="2"/>
          <w:sz w:val="21"/>
          <w:szCs w:val="24"/>
          <w:lang w:val="en-US" w:eastAsia="zh-CN"/>
        </w:rPr>
        <w:t>对</w:t>
      </w:r>
      <w:r>
        <w:rPr>
          <w:rFonts w:hint="eastAsia" w:ascii="宋体" w:hAnsi="宋体" w:eastAsia="宋体"/>
          <w:color w:val="auto"/>
          <w:kern w:val="2"/>
          <w:sz w:val="21"/>
          <w:szCs w:val="24"/>
        </w:rPr>
        <w:t>生态环境状况公报</w:t>
      </w:r>
      <w:r>
        <w:rPr>
          <w:rFonts w:hint="eastAsia" w:ascii="宋体" w:hAnsi="宋体" w:eastAsia="宋体"/>
          <w:color w:val="auto"/>
          <w:kern w:val="2"/>
          <w:sz w:val="21"/>
          <w:szCs w:val="24"/>
          <w:lang w:eastAsia="zh-CN"/>
        </w:rPr>
        <w:t>正文</w:t>
      </w:r>
      <w:r>
        <w:rPr>
          <w:rFonts w:hint="eastAsia" w:ascii="宋体" w:hAnsi="宋体" w:eastAsia="宋体"/>
          <w:color w:val="auto"/>
          <w:kern w:val="2"/>
          <w:sz w:val="21"/>
          <w:szCs w:val="24"/>
        </w:rPr>
        <w:t>说明，宜使用表。</w:t>
      </w:r>
    </w:p>
    <w:p w14:paraId="3F49100D">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每</w:t>
      </w:r>
      <w:r>
        <w:rPr>
          <w:rFonts w:hint="eastAsia" w:ascii="宋体" w:hAnsi="宋体" w:eastAsia="宋体"/>
          <w:color w:val="auto"/>
          <w:kern w:val="2"/>
          <w:sz w:val="21"/>
          <w:szCs w:val="24"/>
          <w:lang w:eastAsia="zh-CN"/>
        </w:rPr>
        <w:t>张</w:t>
      </w:r>
      <w:r>
        <w:rPr>
          <w:rFonts w:hint="eastAsia" w:ascii="宋体" w:hAnsi="宋体" w:eastAsia="宋体"/>
          <w:color w:val="auto"/>
          <w:kern w:val="2"/>
          <w:sz w:val="21"/>
          <w:szCs w:val="24"/>
        </w:rPr>
        <w:t>表在正文中均应明确提及。</w:t>
      </w:r>
    </w:p>
    <w:p w14:paraId="73B32BCD">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编号</w:t>
      </w:r>
    </w:p>
    <w:p w14:paraId="5A21098F">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每</w:t>
      </w:r>
      <w:r>
        <w:rPr>
          <w:rFonts w:hint="eastAsia" w:ascii="宋体" w:hAnsi="宋体" w:eastAsia="宋体"/>
          <w:color w:val="auto"/>
          <w:kern w:val="2"/>
          <w:sz w:val="21"/>
          <w:szCs w:val="24"/>
          <w:lang w:eastAsia="zh-CN"/>
        </w:rPr>
        <w:t>张表</w:t>
      </w:r>
      <w:r>
        <w:rPr>
          <w:rFonts w:hint="eastAsia" w:ascii="宋体" w:hAnsi="宋体" w:eastAsia="宋体"/>
          <w:color w:val="auto"/>
          <w:kern w:val="2"/>
          <w:sz w:val="21"/>
          <w:szCs w:val="24"/>
        </w:rPr>
        <w:t>均应有编号。</w:t>
      </w:r>
    </w:p>
    <w:p w14:paraId="266417FA">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lang w:eastAsia="zh-CN"/>
        </w:rPr>
        <w:t>表</w:t>
      </w:r>
      <w:r>
        <w:rPr>
          <w:rFonts w:hint="eastAsia" w:ascii="宋体" w:hAnsi="宋体" w:eastAsia="宋体"/>
          <w:color w:val="auto"/>
          <w:kern w:val="2"/>
          <w:sz w:val="21"/>
          <w:szCs w:val="24"/>
        </w:rPr>
        <w:t>的编号由“</w:t>
      </w:r>
      <w:r>
        <w:rPr>
          <w:rFonts w:hint="eastAsia" w:ascii="宋体" w:hAnsi="宋体" w:eastAsia="宋体"/>
          <w:color w:val="auto"/>
          <w:kern w:val="2"/>
          <w:sz w:val="21"/>
          <w:szCs w:val="24"/>
          <w:lang w:eastAsia="zh-CN"/>
        </w:rPr>
        <w:t>表</w:t>
      </w:r>
      <w:r>
        <w:rPr>
          <w:rFonts w:hint="eastAsia" w:ascii="宋体" w:hAnsi="宋体" w:eastAsia="宋体"/>
          <w:color w:val="auto"/>
          <w:kern w:val="2"/>
          <w:sz w:val="21"/>
          <w:szCs w:val="24"/>
        </w:rPr>
        <w:t>”</w:t>
      </w:r>
      <w:r>
        <w:rPr>
          <w:rFonts w:hint="eastAsia" w:ascii="宋体" w:hAnsi="宋体" w:eastAsia="宋体"/>
          <w:color w:val="auto"/>
          <w:kern w:val="2"/>
          <w:sz w:val="21"/>
          <w:szCs w:val="24"/>
          <w:lang w:val="en-US" w:eastAsia="zh-CN"/>
        </w:rPr>
        <w:t>字</w:t>
      </w:r>
      <w:r>
        <w:rPr>
          <w:rFonts w:hint="eastAsia" w:ascii="宋体" w:hAnsi="宋体" w:eastAsia="宋体"/>
          <w:color w:val="auto"/>
          <w:kern w:val="2"/>
          <w:sz w:val="21"/>
          <w:szCs w:val="24"/>
        </w:rPr>
        <w:t>和从1开始的阿拉伯数字组成，例如“</w:t>
      </w:r>
      <w:r>
        <w:rPr>
          <w:rFonts w:hint="eastAsia" w:ascii="宋体" w:hAnsi="宋体" w:eastAsia="宋体"/>
          <w:color w:val="auto"/>
          <w:kern w:val="2"/>
          <w:sz w:val="21"/>
          <w:szCs w:val="24"/>
          <w:lang w:eastAsia="zh-CN"/>
        </w:rPr>
        <w:t>表</w:t>
      </w:r>
      <w:r>
        <w:rPr>
          <w:rFonts w:hint="eastAsia" w:ascii="宋体" w:hAnsi="宋体" w:eastAsia="宋体"/>
          <w:color w:val="auto"/>
          <w:kern w:val="2"/>
          <w:sz w:val="21"/>
          <w:szCs w:val="24"/>
        </w:rPr>
        <w:t>1</w:t>
      </w:r>
      <w:r>
        <w:rPr>
          <w:rFonts w:hint="eastAsia" w:ascii="宋体" w:hAnsi="宋体" w:eastAsia="宋体"/>
          <w:color w:val="auto"/>
          <w:kern w:val="2"/>
          <w:sz w:val="21"/>
          <w:szCs w:val="24"/>
          <w:lang w:eastAsia="zh-CN"/>
        </w:rPr>
        <w:t>”</w:t>
      </w:r>
      <w:r>
        <w:rPr>
          <w:rFonts w:hint="eastAsia" w:ascii="宋体" w:hAnsi="宋体" w:eastAsia="宋体"/>
          <w:color w:val="auto"/>
          <w:kern w:val="2"/>
          <w:sz w:val="21"/>
          <w:szCs w:val="24"/>
        </w:rPr>
        <w:t>“</w:t>
      </w:r>
      <w:r>
        <w:rPr>
          <w:rFonts w:hint="eastAsia" w:ascii="宋体" w:hAnsi="宋体" w:eastAsia="宋体"/>
          <w:color w:val="auto"/>
          <w:kern w:val="2"/>
          <w:sz w:val="21"/>
          <w:szCs w:val="24"/>
          <w:lang w:eastAsia="zh-CN"/>
        </w:rPr>
        <w:t>表</w:t>
      </w:r>
      <w:r>
        <w:rPr>
          <w:rFonts w:hint="eastAsia" w:ascii="宋体" w:hAnsi="宋体" w:eastAsia="宋体"/>
          <w:color w:val="auto"/>
          <w:kern w:val="2"/>
          <w:sz w:val="21"/>
          <w:szCs w:val="24"/>
        </w:rPr>
        <w:t>2”等。</w:t>
      </w:r>
      <w:r>
        <w:rPr>
          <w:rFonts w:hint="eastAsia" w:ascii="宋体" w:hAnsi="宋体" w:eastAsia="宋体"/>
          <w:color w:val="auto"/>
          <w:kern w:val="2"/>
          <w:sz w:val="21"/>
          <w:szCs w:val="24"/>
          <w:lang w:eastAsia="zh-CN"/>
        </w:rPr>
        <w:t>表</w:t>
      </w:r>
      <w:r>
        <w:rPr>
          <w:rFonts w:hint="eastAsia" w:ascii="宋体" w:hAnsi="宋体" w:eastAsia="宋体"/>
          <w:color w:val="auto"/>
          <w:kern w:val="2"/>
          <w:sz w:val="21"/>
          <w:szCs w:val="24"/>
        </w:rPr>
        <w:t>的编号一直连续，并与章节</w:t>
      </w:r>
      <w:r>
        <w:rPr>
          <w:rFonts w:hint="eastAsia" w:ascii="宋体" w:hAnsi="宋体" w:eastAsia="宋体"/>
          <w:color w:val="auto"/>
          <w:kern w:val="2"/>
          <w:sz w:val="21"/>
          <w:szCs w:val="24"/>
          <w:lang w:eastAsia="zh-CN"/>
        </w:rPr>
        <w:t>和图</w:t>
      </w:r>
      <w:r>
        <w:rPr>
          <w:rFonts w:hint="eastAsia" w:ascii="宋体" w:hAnsi="宋体" w:eastAsia="宋体"/>
          <w:color w:val="auto"/>
          <w:kern w:val="2"/>
          <w:sz w:val="21"/>
          <w:szCs w:val="24"/>
        </w:rPr>
        <w:t>的编号无关。</w:t>
      </w:r>
    </w:p>
    <w:p w14:paraId="1D10D3F6">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只有一</w:t>
      </w:r>
      <w:r>
        <w:rPr>
          <w:rFonts w:hint="eastAsia" w:ascii="宋体" w:hAnsi="宋体" w:eastAsia="宋体"/>
          <w:color w:val="auto"/>
          <w:kern w:val="2"/>
          <w:sz w:val="21"/>
          <w:szCs w:val="24"/>
          <w:lang w:eastAsia="zh-CN"/>
        </w:rPr>
        <w:t>张表</w:t>
      </w:r>
      <w:r>
        <w:rPr>
          <w:rFonts w:hint="eastAsia" w:ascii="宋体" w:hAnsi="宋体" w:eastAsia="宋体"/>
          <w:color w:val="auto"/>
          <w:kern w:val="2"/>
          <w:sz w:val="21"/>
          <w:szCs w:val="24"/>
        </w:rPr>
        <w:t>时，仍应标为“</w:t>
      </w:r>
      <w:r>
        <w:rPr>
          <w:rFonts w:hint="eastAsia" w:ascii="宋体" w:hAnsi="宋体" w:eastAsia="宋体"/>
          <w:color w:val="auto"/>
          <w:kern w:val="2"/>
          <w:sz w:val="21"/>
          <w:szCs w:val="24"/>
          <w:lang w:eastAsia="zh-CN"/>
        </w:rPr>
        <w:t>表</w:t>
      </w:r>
      <w:r>
        <w:rPr>
          <w:rFonts w:hint="eastAsia" w:ascii="宋体" w:hAnsi="宋体" w:eastAsia="宋体"/>
          <w:color w:val="auto"/>
          <w:kern w:val="2"/>
          <w:sz w:val="21"/>
          <w:szCs w:val="24"/>
        </w:rPr>
        <w:t>1</w:t>
      </w:r>
      <w:r>
        <w:rPr>
          <w:rFonts w:hint="eastAsia" w:ascii="宋体" w:hAnsi="宋体" w:eastAsia="宋体"/>
          <w:color w:val="auto"/>
          <w:kern w:val="2"/>
          <w:sz w:val="21"/>
          <w:szCs w:val="24"/>
          <w:lang w:eastAsia="zh-CN"/>
        </w:rPr>
        <w:t>”</w:t>
      </w:r>
      <w:r>
        <w:rPr>
          <w:rFonts w:hint="eastAsia" w:ascii="宋体" w:hAnsi="宋体" w:eastAsia="宋体"/>
          <w:color w:val="auto"/>
          <w:kern w:val="2"/>
          <w:sz w:val="21"/>
          <w:szCs w:val="24"/>
        </w:rPr>
        <w:t>。</w:t>
      </w:r>
    </w:p>
    <w:p w14:paraId="07D6E391">
      <w:pPr>
        <w:pageBreakBefore w:val="0"/>
        <w:numPr>
          <w:ilvl w:val="4"/>
          <w:numId w:val="1"/>
        </w:numPr>
        <w:kinsoku/>
        <w:wordWrap/>
        <w:overflowPunct/>
        <w:topLinePunct w:val="0"/>
        <w:bidi w:val="0"/>
        <w:adjustRightInd w:val="0"/>
        <w:snapToGrid w:val="0"/>
        <w:ind w:firstLine="0" w:firstLineChars="0"/>
        <w:textAlignment w:val="auto"/>
        <w:rPr>
          <w:rFonts w:hint="eastAsia" w:ascii="宋体" w:hAnsi="宋体" w:eastAsia="宋体"/>
          <w:color w:val="auto"/>
          <w:sz w:val="21"/>
          <w:szCs w:val="24"/>
          <w:lang w:eastAsia="zh-CN"/>
        </w:rPr>
      </w:pPr>
      <w:r>
        <w:rPr>
          <w:rFonts w:hint="eastAsia" w:ascii="宋体" w:hAnsi="宋体" w:eastAsia="宋体"/>
          <w:color w:val="auto"/>
          <w:kern w:val="2"/>
          <w:sz w:val="21"/>
          <w:szCs w:val="24"/>
          <w:lang w:eastAsia="zh-CN"/>
        </w:rPr>
        <w:t>一张表应尽量放置于同一页中，若无法避免，应在下一页续排，接拍的表应加表头，并在表头右上角处加“续表”字样。</w:t>
      </w:r>
    </w:p>
    <w:p w14:paraId="5D0B5C30">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表题</w:t>
      </w:r>
    </w:p>
    <w:p w14:paraId="0ECE29F7">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 w:val="21"/>
          <w:szCs w:val="24"/>
        </w:rPr>
      </w:pPr>
      <w:r>
        <w:rPr>
          <w:rFonts w:hint="eastAsia" w:ascii="宋体" w:hAnsi="宋体" w:eastAsia="宋体"/>
          <w:color w:val="auto"/>
          <w:kern w:val="2"/>
          <w:sz w:val="21"/>
          <w:szCs w:val="24"/>
        </w:rPr>
        <w:t>表题即表的名称。每</w:t>
      </w:r>
      <w:r>
        <w:rPr>
          <w:rFonts w:hint="eastAsia" w:ascii="宋体" w:hAnsi="宋体" w:eastAsia="宋体"/>
          <w:color w:val="auto"/>
          <w:kern w:val="2"/>
          <w:sz w:val="21"/>
          <w:szCs w:val="24"/>
          <w:lang w:eastAsia="zh-CN"/>
        </w:rPr>
        <w:t>张</w:t>
      </w:r>
      <w:r>
        <w:rPr>
          <w:rFonts w:hint="eastAsia" w:ascii="宋体" w:hAnsi="宋体" w:eastAsia="宋体"/>
          <w:color w:val="auto"/>
          <w:kern w:val="2"/>
          <w:sz w:val="21"/>
          <w:szCs w:val="24"/>
        </w:rPr>
        <w:t>表宜有表题，并置于表的编号之后。</w:t>
      </w:r>
    </w:p>
    <w:p w14:paraId="4004FEF2">
      <w:pPr>
        <w:keepNext w:val="0"/>
        <w:keepLines w:val="0"/>
        <w:pageBreakBefore w:val="0"/>
        <w:widowControl w:val="0"/>
        <w:numPr>
          <w:ilvl w:val="4"/>
          <w:numId w:val="1"/>
        </w:numPr>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both"/>
        <w:textAlignment w:val="auto"/>
        <w:outlineLvl w:val="9"/>
        <w:rPr>
          <w:rFonts w:hint="eastAsia" w:ascii="宋体" w:hAnsi="宋体" w:eastAsia="宋体"/>
          <w:color w:val="auto"/>
          <w:kern w:val="2"/>
          <w:szCs w:val="24"/>
          <w:lang w:eastAsia="zh-CN"/>
        </w:rPr>
      </w:pPr>
      <w:r>
        <w:rPr>
          <w:rFonts w:hint="eastAsia" w:ascii="宋体" w:hAnsi="宋体" w:eastAsia="宋体"/>
          <w:color w:val="auto"/>
          <w:kern w:val="2"/>
          <w:sz w:val="21"/>
          <w:szCs w:val="24"/>
        </w:rPr>
        <w:t>表的编号和表题置于表上方的居中位置</w:t>
      </w:r>
      <w:r>
        <w:rPr>
          <w:rFonts w:hint="eastAsia" w:ascii="宋体" w:hAnsi="宋体" w:eastAsia="宋体"/>
          <w:color w:val="auto"/>
          <w:kern w:val="2"/>
          <w:sz w:val="21"/>
          <w:szCs w:val="24"/>
          <w:lang w:eastAsia="zh-CN"/>
        </w:rPr>
        <w:t>，每张表与其前面的正文均宜空一行。</w:t>
      </w:r>
    </w:p>
    <w:p w14:paraId="76262041">
      <w:pPr>
        <w:keepNext w:val="0"/>
        <w:keepLines w:val="0"/>
        <w:pageBreakBefore w:val="0"/>
        <w:widowControl w:val="0"/>
        <w:numPr>
          <w:ilvl w:val="3"/>
          <w:numId w:val="1"/>
        </w:numPr>
        <w:tabs>
          <w:tab w:val="left" w:pos="0"/>
        </w:tabs>
        <w:kinsoku/>
        <w:wordWrap/>
        <w:overflowPunct/>
        <w:topLinePunct w:val="0"/>
        <w:autoSpaceDE/>
        <w:autoSpaceDN/>
        <w:bidi w:val="0"/>
        <w:adjustRightInd w:val="0"/>
        <w:snapToGrid w:val="0"/>
        <w:spacing w:before="195" w:beforeLines="50" w:after="195" w:afterLines="50" w:line="240" w:lineRule="auto"/>
        <w:ind w:left="0" w:leftChars="0" w:right="0" w:rightChars="0" w:firstLine="0" w:firstLineChars="0"/>
        <w:jc w:val="both"/>
        <w:textAlignment w:val="auto"/>
        <w:outlineLvl w:val="9"/>
        <w:rPr>
          <w:rFonts w:hint="eastAsia" w:ascii="黑体" w:hAnsi="黑体" w:eastAsia="黑体" w:cs="黑体"/>
          <w:color w:val="auto"/>
          <w:kern w:val="2"/>
          <w:sz w:val="21"/>
          <w:szCs w:val="24"/>
          <w:lang w:val="en-US" w:eastAsia="zh-CN" w:bidi="ar-SA"/>
        </w:rPr>
      </w:pPr>
      <w:r>
        <w:rPr>
          <w:rFonts w:hint="eastAsia" w:ascii="黑体" w:hAnsi="黑体" w:eastAsia="黑体" w:cs="黑体"/>
          <w:color w:val="auto"/>
          <w:kern w:val="2"/>
          <w:sz w:val="21"/>
          <w:szCs w:val="24"/>
          <w:lang w:val="en-US" w:eastAsia="zh-CN" w:bidi="ar-SA"/>
        </w:rPr>
        <w:t>表框</w:t>
      </w:r>
    </w:p>
    <w:p w14:paraId="01DA7F48">
      <w:pPr>
        <w:pStyle w:val="41"/>
        <w:keepNext w:val="0"/>
        <w:keepLines w:val="0"/>
        <w:pageBreakBefore w:val="0"/>
        <w:widowControl w:val="0"/>
        <w:numPr>
          <w:ilvl w:val="-1"/>
          <w:numId w:val="0"/>
        </w:numPr>
        <w:tabs>
          <w:tab w:val="left" w:pos="0"/>
        </w:tabs>
        <w:kinsoku/>
        <w:wordWrap/>
        <w:overflowPunct/>
        <w:topLinePunct w:val="0"/>
        <w:autoSpaceDE/>
        <w:autoSpaceDN/>
        <w:bidi w:val="0"/>
        <w:adjustRightInd w:val="0"/>
        <w:snapToGrid w:val="0"/>
        <w:spacing w:before="0" w:beforeLines="0" w:after="0" w:afterLines="0" w:line="240" w:lineRule="auto"/>
        <w:ind w:left="0" w:leftChars="0" w:right="0" w:rightChars="0" w:firstLine="420" w:firstLineChars="200"/>
        <w:jc w:val="both"/>
        <w:textAlignment w:val="auto"/>
        <w:outlineLvl w:val="9"/>
        <w:rPr>
          <w:rFonts w:hint="eastAsia" w:ascii="宋体" w:hAnsi="宋体" w:eastAsia="宋体"/>
          <w:color w:val="auto"/>
          <w:kern w:val="2"/>
          <w:szCs w:val="24"/>
        </w:rPr>
      </w:pPr>
      <w:r>
        <w:rPr>
          <w:rFonts w:hint="eastAsia" w:ascii="宋体" w:hAnsi="宋体" w:eastAsia="宋体"/>
          <w:color w:val="auto"/>
          <w:kern w:val="2"/>
          <w:szCs w:val="24"/>
          <w:lang w:eastAsia="zh-CN"/>
        </w:rPr>
        <w:t>表的外框线、表头的下框线、表注和（或）表内的段的上框线均应为粗实线，仅有表的脚注时其上框线为粗实线。</w:t>
      </w:r>
    </w:p>
    <w:p w14:paraId="7E91C020">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eastAsia="黑体" w:cs="黑体"/>
          <w:color w:val="auto"/>
        </w:rPr>
      </w:pPr>
      <w:r>
        <w:rPr>
          <w:rFonts w:hint="eastAsia" w:cs="黑体"/>
          <w:color w:val="auto"/>
          <w:lang w:eastAsia="zh-CN"/>
        </w:rPr>
        <w:t>计量单位</w:t>
      </w:r>
    </w:p>
    <w:p w14:paraId="10A7AC39">
      <w:pPr>
        <w:pStyle w:val="41"/>
        <w:pageBreakBefore w:val="0"/>
        <w:tabs>
          <w:tab w:val="left" w:pos="0"/>
        </w:tabs>
        <w:kinsoku/>
        <w:wordWrap/>
        <w:overflowPunct/>
        <w:topLinePunct w:val="0"/>
        <w:bidi w:val="0"/>
        <w:adjustRightInd w:val="0"/>
        <w:snapToGrid w:val="0"/>
        <w:spacing w:beforeLines="0" w:afterLines="0"/>
        <w:ind w:firstLine="420" w:firstLineChars="200"/>
        <w:textAlignment w:val="auto"/>
        <w:outlineLvl w:val="9"/>
        <w:rPr>
          <w:rFonts w:hint="eastAsia" w:ascii="宋体" w:hAnsi="宋体" w:eastAsia="宋体"/>
          <w:color w:val="auto"/>
          <w:szCs w:val="24"/>
          <w:lang w:val="en-US" w:eastAsia="zh-CN"/>
        </w:rPr>
      </w:pPr>
      <w:r>
        <w:rPr>
          <w:rFonts w:hint="eastAsia" w:ascii="宋体" w:hAnsi="宋体" w:eastAsia="宋体"/>
          <w:color w:val="auto"/>
          <w:szCs w:val="24"/>
          <w:lang w:eastAsia="zh-CN"/>
        </w:rPr>
        <w:t>编制生态环境状况公报时</w:t>
      </w:r>
      <w:r>
        <w:rPr>
          <w:rFonts w:hint="eastAsia" w:ascii="宋体" w:hAnsi="宋体" w:eastAsia="宋体"/>
          <w:color w:val="auto"/>
          <w:szCs w:val="24"/>
          <w:lang w:val="en-US" w:eastAsia="zh-CN"/>
        </w:rPr>
        <w:t>的量、单位及其符号</w:t>
      </w:r>
      <w:r>
        <w:rPr>
          <w:rFonts w:hint="eastAsia" w:ascii="宋体" w:hAnsi="宋体" w:eastAsia="宋体"/>
          <w:color w:val="auto"/>
          <w:szCs w:val="24"/>
          <w:lang w:eastAsia="zh-CN"/>
        </w:rPr>
        <w:t>应按照</w:t>
      </w:r>
      <w:r>
        <w:rPr>
          <w:rFonts w:hint="eastAsia" w:ascii="宋体" w:hAnsi="宋体" w:eastAsia="宋体"/>
          <w:color w:val="auto"/>
          <w:szCs w:val="24"/>
          <w:lang w:val="en-US" w:eastAsia="zh-CN"/>
        </w:rPr>
        <w:t>GB 3100、GB/T 3101、GB 3102.1～3102.13的</w:t>
      </w:r>
      <w:bookmarkStart w:id="132" w:name="OLE_LINK2"/>
      <w:r>
        <w:rPr>
          <w:rFonts w:hint="eastAsia" w:ascii="宋体" w:hAnsi="宋体" w:eastAsia="宋体"/>
          <w:color w:val="auto"/>
          <w:szCs w:val="24"/>
          <w:lang w:val="en-US" w:eastAsia="zh-CN"/>
        </w:rPr>
        <w:t>相关</w:t>
      </w:r>
      <w:bookmarkEnd w:id="132"/>
      <w:r>
        <w:rPr>
          <w:rFonts w:hint="eastAsia" w:ascii="宋体" w:hAnsi="宋体" w:eastAsia="宋体"/>
          <w:color w:val="auto"/>
          <w:szCs w:val="24"/>
          <w:lang w:val="en-US" w:eastAsia="zh-CN"/>
        </w:rPr>
        <w:t>规定执行。</w:t>
      </w:r>
    </w:p>
    <w:p w14:paraId="460A4A0F">
      <w:pPr>
        <w:pStyle w:val="41"/>
        <w:pageBreakBefore w:val="0"/>
        <w:numPr>
          <w:ilvl w:val="2"/>
          <w:numId w:val="1"/>
        </w:numPr>
        <w:kinsoku/>
        <w:wordWrap/>
        <w:overflowPunct/>
        <w:topLinePunct w:val="0"/>
        <w:bidi w:val="0"/>
        <w:adjustRightInd w:val="0"/>
        <w:snapToGrid w:val="0"/>
        <w:spacing w:before="193" w:after="193"/>
        <w:jc w:val="both"/>
        <w:textAlignment w:val="auto"/>
        <w:rPr>
          <w:rFonts w:hint="eastAsia" w:ascii="黑体" w:hAnsi="黑体" w:eastAsia="黑体" w:cs="黑体"/>
          <w:color w:val="auto"/>
        </w:rPr>
      </w:pPr>
      <w:r>
        <w:rPr>
          <w:rFonts w:hint="eastAsia" w:cs="黑体"/>
          <w:color w:val="auto"/>
          <w:lang w:eastAsia="zh-CN"/>
        </w:rPr>
        <w:t>标点</w:t>
      </w:r>
    </w:p>
    <w:p w14:paraId="22C7C172">
      <w:pPr>
        <w:pStyle w:val="41"/>
        <w:pageBreakBefore w:val="0"/>
        <w:tabs>
          <w:tab w:val="left" w:pos="0"/>
        </w:tabs>
        <w:kinsoku/>
        <w:wordWrap/>
        <w:overflowPunct/>
        <w:topLinePunct w:val="0"/>
        <w:bidi w:val="0"/>
        <w:adjustRightInd w:val="0"/>
        <w:snapToGrid w:val="0"/>
        <w:spacing w:beforeLines="0" w:afterLines="0"/>
        <w:ind w:firstLine="420"/>
        <w:jc w:val="both"/>
        <w:textAlignment w:val="auto"/>
        <w:outlineLvl w:val="9"/>
        <w:rPr>
          <w:rFonts w:hint="eastAsia" w:ascii="宋体" w:hAnsi="宋体" w:eastAsia="宋体"/>
          <w:color w:val="auto"/>
          <w:szCs w:val="24"/>
          <w:lang w:val="en-US" w:eastAsia="zh-CN"/>
        </w:rPr>
      </w:pPr>
      <w:r>
        <w:rPr>
          <w:rFonts w:hint="eastAsia" w:ascii="宋体" w:hAnsi="宋体" w:eastAsia="宋体"/>
          <w:color w:val="auto"/>
          <w:szCs w:val="24"/>
          <w:lang w:eastAsia="zh-CN"/>
        </w:rPr>
        <w:t>编制生态环境状况公报时标点符号应按照</w:t>
      </w:r>
      <w:r>
        <w:rPr>
          <w:rFonts w:hint="eastAsia" w:ascii="宋体" w:hAnsi="宋体" w:eastAsia="宋体"/>
          <w:color w:val="auto"/>
          <w:szCs w:val="24"/>
          <w:lang w:val="en-US" w:eastAsia="zh-CN"/>
        </w:rPr>
        <w:t>GB/T 15834的相关规定执行。</w:t>
      </w:r>
      <w:bookmarkEnd w:id="113"/>
      <w:bookmarkEnd w:id="114"/>
      <w:bookmarkEnd w:id="115"/>
    </w:p>
    <w:p w14:paraId="375D5823">
      <w:pPr>
        <w:pStyle w:val="39"/>
        <w:pageBreakBefore w:val="0"/>
        <w:kinsoku/>
        <w:wordWrap/>
        <w:overflowPunct/>
        <w:topLinePunct w:val="0"/>
        <w:bidi w:val="0"/>
        <w:adjustRightInd w:val="0"/>
        <w:snapToGrid w:val="0"/>
        <w:ind w:left="0" w:leftChars="0" w:firstLine="0" w:firstLineChars="0"/>
        <w:textAlignment w:val="auto"/>
        <w:rPr>
          <w:rFonts w:hint="eastAsia" w:ascii="宋体" w:hAnsi="宋体" w:eastAsia="宋体"/>
          <w:color w:val="auto"/>
          <w:szCs w:val="24"/>
          <w:lang w:val="en-US" w:eastAsia="zh-CN"/>
        </w:rPr>
      </w:pPr>
    </w:p>
    <w:p w14:paraId="542BF0F3">
      <w:pPr>
        <w:pStyle w:val="39"/>
        <w:pageBreakBefore w:val="0"/>
        <w:kinsoku/>
        <w:wordWrap/>
        <w:overflowPunct/>
        <w:topLinePunct w:val="0"/>
        <w:bidi w:val="0"/>
        <w:adjustRightInd w:val="0"/>
        <w:snapToGrid w:val="0"/>
        <w:ind w:left="0" w:leftChars="0" w:firstLine="0" w:firstLineChars="0"/>
        <w:textAlignment w:val="auto"/>
        <w:rPr>
          <w:rFonts w:hint="eastAsia" w:ascii="宋体" w:hAnsi="宋体" w:eastAsia="宋体"/>
          <w:color w:val="auto"/>
          <w:szCs w:val="24"/>
          <w:lang w:val="en-US" w:eastAsia="zh-CN"/>
        </w:rPr>
        <w:sectPr>
          <w:footerReference r:id="rId17" w:type="default"/>
          <w:footerReference r:id="rId18" w:type="even"/>
          <w:pgSz w:w="11906" w:h="16838"/>
          <w:pgMar w:top="2268" w:right="1134" w:bottom="1134" w:left="1134" w:header="1417" w:footer="1134" w:gutter="283"/>
          <w:pgBorders>
            <w:top w:val="none" w:sz="0" w:space="0"/>
            <w:left w:val="none" w:sz="0" w:space="0"/>
            <w:bottom w:val="none" w:sz="0" w:space="0"/>
            <w:right w:val="none" w:sz="0" w:space="0"/>
          </w:pgBorders>
          <w:pgNumType w:fmt="decimal" w:start="1"/>
          <w:cols w:space="0" w:num="1"/>
          <w:docGrid w:type="lines" w:linePitch="387" w:charSpace="0"/>
        </w:sectPr>
      </w:pPr>
    </w:p>
    <w:p w14:paraId="0A471037">
      <w:pPr>
        <w:pStyle w:val="2"/>
        <w:keepNext/>
        <w:keepLines/>
        <w:pageBreakBefore w:val="0"/>
        <w:widowControl w:val="0"/>
        <w:kinsoku/>
        <w:wordWrap/>
        <w:overflowPunct/>
        <w:topLinePunct w:val="0"/>
        <w:autoSpaceDE/>
        <w:autoSpaceDN/>
        <w:bidi w:val="0"/>
        <w:adjustRightInd w:val="0"/>
        <w:snapToGrid w:val="0"/>
        <w:spacing w:before="0" w:after="0"/>
        <w:textAlignment w:val="auto"/>
        <w:rPr>
          <w:rFonts w:hint="default" w:eastAsia="黑体" w:cs="黑体"/>
          <w:b w:val="0"/>
          <w:bCs w:val="0"/>
          <w:color w:val="auto"/>
          <w:sz w:val="21"/>
          <w:szCs w:val="21"/>
          <w:lang w:val="en-US" w:eastAsia="zh-CN"/>
        </w:rPr>
      </w:pPr>
      <w:bookmarkStart w:id="133" w:name="_Toc27015"/>
      <w:bookmarkStart w:id="134" w:name="_Toc14086"/>
      <w:r>
        <w:rPr>
          <w:rFonts w:hint="eastAsia" w:cs="黑体"/>
          <w:b w:val="0"/>
          <w:bCs w:val="0"/>
          <w:color w:val="auto"/>
          <w:sz w:val="21"/>
          <w:szCs w:val="21"/>
        </w:rPr>
        <w:t xml:space="preserve">附  录  </w:t>
      </w:r>
      <w:r>
        <w:rPr>
          <w:rFonts w:hint="eastAsia" w:cs="黑体"/>
          <w:b w:val="0"/>
          <w:bCs w:val="0"/>
          <w:color w:val="auto"/>
          <w:sz w:val="21"/>
          <w:szCs w:val="21"/>
          <w:lang w:val="en-US" w:eastAsia="zh-CN"/>
        </w:rPr>
        <w:t>A</w:t>
      </w:r>
      <w:r>
        <w:rPr>
          <w:rFonts w:hint="eastAsia" w:cs="黑体"/>
          <w:b w:val="0"/>
          <w:bCs w:val="0"/>
          <w:color w:val="auto"/>
          <w:sz w:val="21"/>
          <w:szCs w:val="21"/>
          <w:lang w:val="en-US" w:eastAsia="zh-CN"/>
        </w:rPr>
        <w:br w:type="textWrapping"/>
      </w:r>
      <w:r>
        <w:rPr>
          <w:rFonts w:hint="eastAsia" w:cs="黑体"/>
          <w:b w:val="0"/>
          <w:bCs w:val="0"/>
          <w:color w:val="auto"/>
          <w:sz w:val="21"/>
          <w:szCs w:val="21"/>
        </w:rPr>
        <w:t>（</w:t>
      </w:r>
      <w:r>
        <w:rPr>
          <w:rFonts w:hint="eastAsia" w:cs="黑体"/>
          <w:b w:val="0"/>
          <w:bCs w:val="0"/>
          <w:color w:val="auto"/>
          <w:sz w:val="21"/>
          <w:szCs w:val="21"/>
          <w:lang w:val="en-US" w:eastAsia="zh-CN"/>
        </w:rPr>
        <w:t>资料</w:t>
      </w:r>
      <w:r>
        <w:rPr>
          <w:rFonts w:hint="eastAsia" w:cs="黑体"/>
          <w:b w:val="0"/>
          <w:bCs w:val="0"/>
          <w:color w:val="auto"/>
          <w:sz w:val="21"/>
          <w:szCs w:val="21"/>
        </w:rPr>
        <w:t>性）</w:t>
      </w:r>
      <w:r>
        <w:rPr>
          <w:rFonts w:hint="eastAsia" w:cs="黑体"/>
          <w:b w:val="0"/>
          <w:bCs w:val="0"/>
          <w:color w:val="auto"/>
          <w:sz w:val="21"/>
          <w:szCs w:val="21"/>
        </w:rPr>
        <w:br w:type="textWrapping"/>
      </w:r>
      <w:r>
        <w:rPr>
          <w:rFonts w:hint="eastAsia" w:cs="黑体"/>
          <w:b w:val="0"/>
          <w:bCs w:val="0"/>
          <w:color w:val="auto"/>
          <w:sz w:val="21"/>
          <w:szCs w:val="21"/>
        </w:rPr>
        <w:t>生态环境状况公报</w:t>
      </w:r>
      <w:r>
        <w:rPr>
          <w:rFonts w:hint="eastAsia" w:cs="黑体"/>
          <w:b w:val="0"/>
          <w:bCs w:val="0"/>
          <w:color w:val="auto"/>
          <w:sz w:val="21"/>
          <w:szCs w:val="21"/>
          <w:lang w:val="en-US" w:eastAsia="zh-CN"/>
        </w:rPr>
        <w:t>编写参考提纲</w:t>
      </w:r>
      <w:bookmarkEnd w:id="133"/>
    </w:p>
    <w:p w14:paraId="37C6628D">
      <w:pPr>
        <w:pStyle w:val="24"/>
        <w:keepNext w:val="0"/>
        <w:keepLines w:val="0"/>
        <w:pageBreakBefore w:val="0"/>
        <w:widowControl w:val="0"/>
        <w:kinsoku/>
        <w:wordWrap/>
        <w:overflowPunct/>
        <w:topLinePunct w:val="0"/>
        <w:autoSpaceDE w:val="0"/>
        <w:autoSpaceDN w:val="0"/>
        <w:bidi w:val="0"/>
        <w:adjustRightInd w:val="0"/>
        <w:snapToGrid w:val="0"/>
        <w:spacing w:before="195" w:beforeLines="50" w:line="240" w:lineRule="auto"/>
        <w:ind w:left="0" w:leftChars="0" w:right="0" w:rightChars="0" w:firstLine="420" w:firstLineChars="200"/>
        <w:jc w:val="left"/>
        <w:textAlignment w:val="auto"/>
        <w:outlineLvl w:val="9"/>
        <w:rPr>
          <w:rFonts w:hint="eastAsia" w:cs="黑体"/>
          <w:b w:val="0"/>
          <w:bCs w:val="0"/>
          <w:color w:val="auto"/>
          <w:sz w:val="21"/>
          <w:szCs w:val="21"/>
        </w:rPr>
      </w:pPr>
    </w:p>
    <w:p w14:paraId="0B58F16E">
      <w:pPr>
        <w:pStyle w:val="24"/>
        <w:keepNext w:val="0"/>
        <w:keepLines w:val="0"/>
        <w:pageBreakBefore w:val="0"/>
        <w:widowControl w:val="0"/>
        <w:kinsoku/>
        <w:wordWrap/>
        <w:overflowPunct/>
        <w:topLinePunct w:val="0"/>
        <w:autoSpaceDE/>
        <w:autoSpaceDN/>
        <w:bidi w:val="0"/>
        <w:adjustRightInd w:val="0"/>
        <w:snapToGrid w:val="0"/>
        <w:spacing w:before="195" w:beforeLines="50" w:after="195" w:afterLines="50" w:line="240" w:lineRule="auto"/>
        <w:ind w:left="0" w:leftChars="0" w:right="0" w:rightChars="0" w:firstLine="420" w:firstLineChars="200"/>
        <w:jc w:val="left"/>
        <w:textAlignment w:val="auto"/>
        <w:outlineLvl w:val="9"/>
        <w:rPr>
          <w:rFonts w:hint="eastAsia" w:hAnsi="宋体"/>
          <w:bCs/>
          <w:color w:val="auto"/>
          <w:sz w:val="21"/>
          <w:szCs w:val="21"/>
          <w:lang w:val="en-US"/>
        </w:rPr>
      </w:pPr>
      <w:r>
        <w:rPr>
          <w:rFonts w:hint="eastAsia" w:hAnsi="宋体" w:cs="宋体"/>
          <w:b w:val="0"/>
          <w:bCs w:val="0"/>
          <w:color w:val="auto"/>
          <w:sz w:val="21"/>
          <w:szCs w:val="21"/>
        </w:rPr>
        <w:t>生态环境状况公报</w:t>
      </w:r>
      <w:r>
        <w:rPr>
          <w:rFonts w:hint="eastAsia" w:hAnsi="宋体" w:cs="宋体"/>
          <w:b w:val="0"/>
          <w:bCs w:val="0"/>
          <w:color w:val="auto"/>
          <w:sz w:val="21"/>
          <w:szCs w:val="21"/>
          <w:lang w:val="en-US" w:eastAsia="zh-CN"/>
        </w:rPr>
        <w:t>编写可根据当年度生态环境工作情况适当调整，参考提纲如下：</w:t>
      </w:r>
    </w:p>
    <w:p w14:paraId="62D5F9C3">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 xml:space="preserve">第一章  </w:t>
      </w:r>
      <w:r>
        <w:rPr>
          <w:rFonts w:hint="eastAsia" w:ascii="宋体" w:hAnsi="宋体" w:eastAsia="宋体" w:cs="宋体"/>
          <w:bCs w:val="0"/>
          <w:color w:val="auto"/>
          <w:sz w:val="21"/>
          <w:szCs w:val="21"/>
          <w:lang w:eastAsia="zh-CN"/>
        </w:rPr>
        <w:t>生态环境状况</w:t>
      </w:r>
    </w:p>
    <w:p w14:paraId="48D9A7F3">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一、大气环境</w:t>
      </w:r>
    </w:p>
    <w:p w14:paraId="7796CF5D">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（一）城市环境空气</w:t>
      </w:r>
    </w:p>
    <w:p w14:paraId="5C802FEE">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（二）城市降水</w:t>
      </w:r>
    </w:p>
    <w:p w14:paraId="2019AABF">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二、地表水环境</w:t>
      </w:r>
    </w:p>
    <w:p w14:paraId="064C25CD">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（一）饮用水源</w:t>
      </w:r>
    </w:p>
    <w:p w14:paraId="79F586DA">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（二）湖泊水库</w:t>
      </w:r>
    </w:p>
    <w:p w14:paraId="11EFC230">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（三）国考地表水</w:t>
      </w:r>
    </w:p>
    <w:p w14:paraId="548111BE">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（四）省考地表水</w:t>
      </w:r>
    </w:p>
    <w:p w14:paraId="27BF3D67">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（五）国考入海河流</w:t>
      </w:r>
    </w:p>
    <w:p w14:paraId="538B2FA5">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（六）省界河流</w:t>
      </w:r>
    </w:p>
    <w:p w14:paraId="198ED6C1">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三、海洋环境</w:t>
      </w:r>
    </w:p>
    <w:p w14:paraId="0D9B987C">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（一）海水环境质量</w:t>
      </w:r>
    </w:p>
    <w:p w14:paraId="17342262">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（二）海洋生态</w:t>
      </w:r>
    </w:p>
    <w:p w14:paraId="58461647">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（三）部分城市海水浴场水质</w:t>
      </w:r>
    </w:p>
    <w:p w14:paraId="42C1C1BD">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（四）近岸海域海洋垃圾</w:t>
      </w:r>
    </w:p>
    <w:p w14:paraId="427C688B">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四、自然生态</w:t>
      </w:r>
    </w:p>
    <w:p w14:paraId="74FCAEEE">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（一）生态质量指数（EQI）</w:t>
      </w:r>
    </w:p>
    <w:p w14:paraId="68A04E04">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（二）水土保持和水资源保护</w:t>
      </w:r>
    </w:p>
    <w:p w14:paraId="0C474026">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（三）农业农村生态</w:t>
      </w:r>
    </w:p>
    <w:p w14:paraId="05C8E751">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（四）林业生态</w:t>
      </w:r>
    </w:p>
    <w:p w14:paraId="0CCA1BA2">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（四）自然保护区</w:t>
      </w:r>
    </w:p>
    <w:p w14:paraId="536D2069">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五、声环境</w:t>
      </w:r>
    </w:p>
    <w:p w14:paraId="124CD1D8">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六、辐射环境</w:t>
      </w:r>
    </w:p>
    <w:p w14:paraId="3938D837">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（一）环境电离辐射质量</w:t>
      </w:r>
    </w:p>
    <w:p w14:paraId="1004180E">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（二）环境电磁辐射质量</w:t>
      </w:r>
    </w:p>
    <w:p w14:paraId="57800ED1">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七、应对气候变化</w:t>
      </w:r>
    </w:p>
    <w:p w14:paraId="60FD7FDB">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第</w:t>
      </w:r>
      <w:r>
        <w:rPr>
          <w:rFonts w:hint="eastAsia" w:hAnsi="宋体" w:cs="宋体"/>
          <w:bCs w:val="0"/>
          <w:color w:val="auto"/>
          <w:sz w:val="21"/>
          <w:szCs w:val="21"/>
          <w:lang w:val="en-US" w:eastAsia="zh-CN"/>
        </w:rPr>
        <w:t>二</w:t>
      </w:r>
      <w:r>
        <w:rPr>
          <w:rFonts w:hint="eastAsia" w:ascii="宋体" w:hAnsi="宋体" w:eastAsia="宋体" w:cs="宋体"/>
          <w:bCs w:val="0"/>
          <w:color w:val="auto"/>
          <w:sz w:val="21"/>
          <w:szCs w:val="21"/>
          <w:lang w:val="en-US" w:eastAsia="zh-CN"/>
        </w:rPr>
        <w:t xml:space="preserve">章  </w:t>
      </w:r>
      <w:r>
        <w:rPr>
          <w:rFonts w:hint="eastAsia" w:hAnsi="宋体" w:cs="宋体"/>
          <w:bCs w:val="0"/>
          <w:color w:val="auto"/>
          <w:sz w:val="21"/>
          <w:szCs w:val="21"/>
          <w:lang w:eastAsia="zh-CN"/>
        </w:rPr>
        <w:t>措施与行动</w:t>
      </w:r>
    </w:p>
    <w:p w14:paraId="1C9E429F">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lang w:eastAsia="zh-CN"/>
        </w:rPr>
      </w:pPr>
      <w:r>
        <w:rPr>
          <w:rFonts w:hint="eastAsia" w:ascii="宋体" w:hAnsi="宋体" w:eastAsia="宋体" w:cs="宋体"/>
          <w:bCs w:val="0"/>
          <w:color w:val="auto"/>
          <w:sz w:val="21"/>
          <w:szCs w:val="21"/>
          <w:lang w:val="en-US" w:eastAsia="zh-CN"/>
        </w:rPr>
        <w:t>一、</w:t>
      </w:r>
      <w:r>
        <w:rPr>
          <w:rFonts w:hint="eastAsia" w:hAnsi="宋体"/>
          <w:bCs w:val="0"/>
          <w:color w:val="auto"/>
          <w:sz w:val="21"/>
          <w:szCs w:val="21"/>
          <w:lang w:eastAsia="zh-CN"/>
        </w:rPr>
        <w:t>生态环境保护总述</w:t>
      </w:r>
    </w:p>
    <w:p w14:paraId="47BF03C1">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lang w:eastAsia="zh-CN"/>
        </w:rPr>
      </w:pPr>
      <w:r>
        <w:rPr>
          <w:rFonts w:hint="eastAsia" w:hAnsi="宋体"/>
          <w:bCs w:val="0"/>
          <w:color w:val="auto"/>
          <w:sz w:val="21"/>
          <w:szCs w:val="21"/>
        </w:rPr>
        <w:t>二、</w:t>
      </w:r>
      <w:r>
        <w:rPr>
          <w:rFonts w:hint="eastAsia" w:hAnsi="宋体"/>
          <w:bCs w:val="0"/>
          <w:color w:val="auto"/>
          <w:sz w:val="21"/>
          <w:szCs w:val="21"/>
          <w:lang w:eastAsia="zh-CN"/>
        </w:rPr>
        <w:t>治理大气环境方面的工作</w:t>
      </w:r>
    </w:p>
    <w:p w14:paraId="2513E165">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rPr>
      </w:pPr>
      <w:r>
        <w:rPr>
          <w:rFonts w:hint="eastAsia" w:hAnsi="宋体"/>
          <w:bCs w:val="0"/>
          <w:color w:val="auto"/>
          <w:sz w:val="21"/>
          <w:szCs w:val="21"/>
        </w:rPr>
        <w:t>三、</w:t>
      </w:r>
      <w:r>
        <w:rPr>
          <w:rFonts w:hint="eastAsia" w:hAnsi="宋体"/>
          <w:bCs w:val="0"/>
          <w:color w:val="auto"/>
          <w:sz w:val="21"/>
          <w:szCs w:val="21"/>
          <w:lang w:eastAsia="zh-CN"/>
        </w:rPr>
        <w:t>治理水环境方面的工作</w:t>
      </w:r>
    </w:p>
    <w:p w14:paraId="3C6924F5">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lang w:eastAsia="zh-CN"/>
        </w:rPr>
      </w:pPr>
      <w:r>
        <w:rPr>
          <w:rFonts w:hint="eastAsia" w:hAnsi="宋体"/>
          <w:bCs w:val="0"/>
          <w:color w:val="auto"/>
          <w:sz w:val="21"/>
          <w:szCs w:val="21"/>
        </w:rPr>
        <w:t>四、</w:t>
      </w:r>
      <w:r>
        <w:rPr>
          <w:rFonts w:hint="eastAsia" w:hAnsi="宋体"/>
          <w:bCs w:val="0"/>
          <w:color w:val="auto"/>
          <w:sz w:val="21"/>
          <w:szCs w:val="21"/>
          <w:lang w:eastAsia="zh-CN"/>
        </w:rPr>
        <w:t>治理土壤环境方面的工作</w:t>
      </w:r>
    </w:p>
    <w:p w14:paraId="4AA556E6">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lang w:eastAsia="zh-CN"/>
        </w:rPr>
      </w:pPr>
      <w:r>
        <w:rPr>
          <w:rFonts w:hint="eastAsia" w:hAnsi="宋体"/>
          <w:bCs w:val="0"/>
          <w:color w:val="auto"/>
          <w:sz w:val="21"/>
          <w:szCs w:val="21"/>
          <w:lang w:eastAsia="zh-CN"/>
        </w:rPr>
        <w:t>……（注：可根据需要设置相关段落）</w:t>
      </w:r>
    </w:p>
    <w:p w14:paraId="4D2E835F">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第</w:t>
      </w:r>
      <w:r>
        <w:rPr>
          <w:rFonts w:hint="eastAsia" w:hAnsi="宋体" w:cs="宋体"/>
          <w:bCs w:val="0"/>
          <w:color w:val="auto"/>
          <w:sz w:val="21"/>
          <w:szCs w:val="21"/>
          <w:lang w:val="en-US" w:eastAsia="zh-CN"/>
        </w:rPr>
        <w:t>三</w:t>
      </w:r>
      <w:r>
        <w:rPr>
          <w:rFonts w:hint="eastAsia" w:ascii="宋体" w:hAnsi="宋体" w:eastAsia="宋体" w:cs="宋体"/>
          <w:bCs w:val="0"/>
          <w:color w:val="auto"/>
          <w:sz w:val="21"/>
          <w:szCs w:val="21"/>
          <w:lang w:val="en-US" w:eastAsia="zh-CN"/>
        </w:rPr>
        <w:t xml:space="preserve">章  </w:t>
      </w:r>
      <w:r>
        <w:rPr>
          <w:rFonts w:hint="eastAsia" w:hAnsi="宋体" w:cs="宋体"/>
          <w:bCs w:val="0"/>
          <w:color w:val="auto"/>
          <w:sz w:val="21"/>
          <w:szCs w:val="21"/>
          <w:lang w:eastAsia="zh-CN"/>
        </w:rPr>
        <w:t>大事记</w:t>
      </w:r>
    </w:p>
    <w:p w14:paraId="497BC9D8">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rPr>
      </w:pPr>
      <w:r>
        <w:rPr>
          <w:rFonts w:hint="eastAsia" w:ascii="宋体" w:hAnsi="宋体" w:eastAsia="宋体" w:cs="宋体"/>
          <w:bCs w:val="0"/>
          <w:color w:val="auto"/>
          <w:sz w:val="21"/>
          <w:szCs w:val="21"/>
          <w:lang w:val="en-US" w:eastAsia="zh-CN"/>
        </w:rPr>
        <w:t>一月</w:t>
      </w:r>
    </w:p>
    <w:p w14:paraId="27F0D7EB">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rPr>
      </w:pPr>
      <w:r>
        <w:rPr>
          <w:rFonts w:hint="eastAsia" w:ascii="宋体" w:hAnsi="宋体" w:eastAsia="宋体" w:cs="宋体"/>
          <w:bCs w:val="0"/>
          <w:color w:val="auto"/>
          <w:sz w:val="21"/>
          <w:szCs w:val="21"/>
          <w:lang w:val="en-US" w:eastAsia="zh-CN"/>
        </w:rPr>
        <w:t>二月</w:t>
      </w:r>
    </w:p>
    <w:p w14:paraId="7A763C78">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三月</w:t>
      </w:r>
    </w:p>
    <w:p w14:paraId="210DB7F9">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四月</w:t>
      </w:r>
    </w:p>
    <w:p w14:paraId="79812DE7">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五月</w:t>
      </w:r>
    </w:p>
    <w:p w14:paraId="7A61C32D">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六月</w:t>
      </w:r>
    </w:p>
    <w:p w14:paraId="60348BA2">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七月</w:t>
      </w:r>
    </w:p>
    <w:p w14:paraId="72F8C971">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八月</w:t>
      </w:r>
    </w:p>
    <w:p w14:paraId="187B7747">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rPr>
      </w:pPr>
      <w:r>
        <w:rPr>
          <w:rFonts w:hint="eastAsia" w:ascii="宋体" w:hAnsi="宋体" w:eastAsia="宋体" w:cs="宋体"/>
          <w:bCs w:val="0"/>
          <w:color w:val="auto"/>
          <w:sz w:val="21"/>
          <w:szCs w:val="21"/>
          <w:lang w:val="en-US" w:eastAsia="zh-CN"/>
        </w:rPr>
        <w:t>九月</w:t>
      </w:r>
    </w:p>
    <w:p w14:paraId="745488B5">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ascii="宋体" w:hAnsi="宋体" w:eastAsia="宋体" w:cs="宋体"/>
          <w:bCs w:val="0"/>
          <w:color w:val="auto"/>
          <w:sz w:val="21"/>
          <w:szCs w:val="21"/>
          <w:lang w:val="en-US" w:eastAsia="zh-CN"/>
        </w:rPr>
      </w:pPr>
      <w:r>
        <w:rPr>
          <w:rFonts w:hint="eastAsia" w:ascii="宋体" w:hAnsi="宋体" w:eastAsia="宋体" w:cs="宋体"/>
          <w:bCs w:val="0"/>
          <w:color w:val="auto"/>
          <w:sz w:val="21"/>
          <w:szCs w:val="21"/>
          <w:lang w:val="en-US" w:eastAsia="zh-CN"/>
        </w:rPr>
        <w:t>十月</w:t>
      </w:r>
    </w:p>
    <w:p w14:paraId="24E0AE54">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rPr>
      </w:pPr>
      <w:r>
        <w:rPr>
          <w:rFonts w:hint="eastAsia" w:ascii="宋体" w:hAnsi="宋体" w:eastAsia="宋体" w:cs="宋体"/>
          <w:bCs w:val="0"/>
          <w:color w:val="auto"/>
          <w:sz w:val="21"/>
          <w:szCs w:val="21"/>
          <w:lang w:val="en-US" w:eastAsia="zh-CN"/>
        </w:rPr>
        <w:t>十一月</w:t>
      </w:r>
    </w:p>
    <w:p w14:paraId="094CD394">
      <w:pPr>
        <w:pStyle w:val="24"/>
        <w:keepNext w:val="0"/>
        <w:keepLines w:val="0"/>
        <w:pageBreakBefore w:val="0"/>
        <w:widowControl w:val="0"/>
        <w:kinsoku/>
        <w:wordWrap/>
        <w:overflowPunct/>
        <w:topLinePunct w:val="0"/>
        <w:autoSpaceDE w:val="0"/>
        <w:autoSpaceDN w:val="0"/>
        <w:bidi w:val="0"/>
        <w:adjustRightInd w:val="0"/>
        <w:snapToGrid w:val="0"/>
        <w:spacing w:before="0" w:beforeLines="0" w:after="0" w:afterLines="-2147483648" w:line="240" w:lineRule="auto"/>
        <w:ind w:right="0" w:rightChars="0" w:firstLine="420" w:firstLineChars="200"/>
        <w:jc w:val="left"/>
        <w:textAlignment w:val="auto"/>
        <w:outlineLvl w:val="9"/>
        <w:rPr>
          <w:rFonts w:hint="eastAsia" w:hAnsi="宋体"/>
          <w:bCs w:val="0"/>
          <w:color w:val="auto"/>
          <w:sz w:val="21"/>
          <w:szCs w:val="21"/>
        </w:rPr>
      </w:pPr>
      <w:r>
        <w:rPr>
          <w:rFonts w:hint="eastAsia" w:ascii="宋体" w:hAnsi="宋体" w:eastAsia="宋体" w:cs="宋体"/>
          <w:bCs w:val="0"/>
          <w:color w:val="auto"/>
          <w:sz w:val="21"/>
          <w:szCs w:val="21"/>
          <w:lang w:val="en-US" w:eastAsia="zh-CN"/>
        </w:rPr>
        <w:t>十二月</w:t>
      </w:r>
    </w:p>
    <w:p w14:paraId="3C3FE8D4">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p>
    <w:p w14:paraId="4E842792">
      <w:pPr>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br w:type="page"/>
      </w:r>
    </w:p>
    <w:p w14:paraId="033AFAE5">
      <w:pPr>
        <w:pStyle w:val="2"/>
        <w:keepNext/>
        <w:keepLines/>
        <w:pageBreakBefore w:val="0"/>
        <w:widowControl w:val="0"/>
        <w:kinsoku/>
        <w:wordWrap/>
        <w:overflowPunct/>
        <w:topLinePunct w:val="0"/>
        <w:autoSpaceDE/>
        <w:autoSpaceDN/>
        <w:bidi w:val="0"/>
        <w:adjustRightInd w:val="0"/>
        <w:snapToGrid w:val="0"/>
        <w:spacing w:before="0" w:after="0"/>
        <w:textAlignment w:val="auto"/>
        <w:rPr>
          <w:rFonts w:hint="default" w:eastAsia="黑体" w:cs="黑体"/>
          <w:b w:val="0"/>
          <w:bCs w:val="0"/>
          <w:color w:val="auto"/>
          <w:sz w:val="21"/>
          <w:szCs w:val="21"/>
          <w:lang w:val="en-US" w:eastAsia="zh-CN"/>
        </w:rPr>
      </w:pPr>
      <w:bookmarkStart w:id="135" w:name="_Toc4524"/>
      <w:r>
        <w:rPr>
          <w:rFonts w:hint="eastAsia" w:cs="黑体"/>
          <w:b w:val="0"/>
          <w:bCs w:val="0"/>
          <w:color w:val="auto"/>
          <w:sz w:val="21"/>
          <w:szCs w:val="21"/>
        </w:rPr>
        <w:t xml:space="preserve">附  录  </w:t>
      </w:r>
      <w:r>
        <w:rPr>
          <w:rFonts w:hint="eastAsia" w:cs="黑体"/>
          <w:b w:val="0"/>
          <w:bCs w:val="0"/>
          <w:color w:val="auto"/>
          <w:sz w:val="21"/>
          <w:szCs w:val="21"/>
          <w:lang w:val="en-US" w:eastAsia="zh-CN"/>
        </w:rPr>
        <w:t>B</w:t>
      </w:r>
      <w:r>
        <w:rPr>
          <w:rFonts w:hint="eastAsia" w:cs="黑体"/>
          <w:b w:val="0"/>
          <w:bCs w:val="0"/>
          <w:color w:val="auto"/>
          <w:sz w:val="21"/>
          <w:szCs w:val="21"/>
          <w:lang w:val="en-US" w:eastAsia="zh-CN"/>
        </w:rPr>
        <w:br w:type="textWrapping"/>
      </w:r>
      <w:bookmarkStart w:id="136" w:name="_Toc30511"/>
      <w:r>
        <w:rPr>
          <w:rFonts w:hint="eastAsia" w:cs="黑体"/>
          <w:b w:val="0"/>
          <w:bCs w:val="0"/>
          <w:color w:val="auto"/>
          <w:sz w:val="21"/>
          <w:szCs w:val="21"/>
        </w:rPr>
        <w:t>（</w:t>
      </w:r>
      <w:r>
        <w:rPr>
          <w:rFonts w:hint="eastAsia" w:cs="黑体"/>
          <w:b w:val="0"/>
          <w:bCs w:val="0"/>
          <w:color w:val="auto"/>
          <w:sz w:val="21"/>
          <w:szCs w:val="21"/>
          <w:lang w:val="en-US" w:eastAsia="zh-CN"/>
        </w:rPr>
        <w:t>资料</w:t>
      </w:r>
      <w:r>
        <w:rPr>
          <w:rFonts w:hint="eastAsia" w:cs="黑体"/>
          <w:b w:val="0"/>
          <w:bCs w:val="0"/>
          <w:color w:val="auto"/>
          <w:sz w:val="21"/>
          <w:szCs w:val="21"/>
        </w:rPr>
        <w:t>性）</w:t>
      </w:r>
      <w:bookmarkEnd w:id="136"/>
      <w:r>
        <w:rPr>
          <w:rFonts w:hint="eastAsia" w:cs="黑体"/>
          <w:b w:val="0"/>
          <w:bCs w:val="0"/>
          <w:color w:val="auto"/>
          <w:sz w:val="21"/>
          <w:szCs w:val="21"/>
        </w:rPr>
        <w:br w:type="textWrapping"/>
      </w:r>
      <w:r>
        <w:rPr>
          <w:rFonts w:hint="eastAsia" w:cs="黑体"/>
          <w:b w:val="0"/>
          <w:bCs w:val="0"/>
          <w:color w:val="auto"/>
          <w:sz w:val="21"/>
          <w:szCs w:val="21"/>
        </w:rPr>
        <w:t>生态环境状况公报</w:t>
      </w:r>
      <w:r>
        <w:rPr>
          <w:rFonts w:hint="eastAsia" w:cs="黑体"/>
          <w:b w:val="0"/>
          <w:bCs w:val="0"/>
          <w:color w:val="auto"/>
          <w:sz w:val="21"/>
          <w:szCs w:val="21"/>
          <w:lang w:val="en-US" w:eastAsia="zh-CN"/>
        </w:rPr>
        <w:t>重点内容编制示例</w:t>
      </w:r>
      <w:bookmarkEnd w:id="134"/>
      <w:bookmarkEnd w:id="135"/>
    </w:p>
    <w:p w14:paraId="16B04F12">
      <w:pPr>
        <w:pStyle w:val="24"/>
        <w:keepNext w:val="0"/>
        <w:keepLines w:val="0"/>
        <w:pageBreakBefore w:val="0"/>
        <w:widowControl w:val="0"/>
        <w:kinsoku/>
        <w:wordWrap/>
        <w:overflowPunct/>
        <w:topLinePunct w:val="0"/>
        <w:autoSpaceDE w:val="0"/>
        <w:autoSpaceDN w:val="0"/>
        <w:bidi w:val="0"/>
        <w:adjustRightInd w:val="0"/>
        <w:snapToGrid w:val="0"/>
        <w:spacing w:before="195" w:beforeLines="50" w:line="240" w:lineRule="auto"/>
        <w:ind w:left="0" w:leftChars="0" w:right="0" w:rightChars="0" w:firstLine="420" w:firstLineChars="200"/>
        <w:jc w:val="left"/>
        <w:textAlignment w:val="auto"/>
        <w:outlineLvl w:val="9"/>
        <w:rPr>
          <w:rFonts w:hAnsi="宋体"/>
          <w:bCs/>
          <w:color w:val="auto"/>
          <w:sz w:val="21"/>
          <w:szCs w:val="21"/>
        </w:rPr>
      </w:pPr>
    </w:p>
    <w:p w14:paraId="28032851">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 xml:space="preserve">B.1  </w:t>
      </w:r>
      <w:r>
        <w:rPr>
          <w:rFonts w:hint="eastAsia" w:ascii="黑体" w:hAnsi="黑体" w:eastAsia="黑体" w:cs="黑体"/>
          <w:bCs/>
          <w:color w:val="auto"/>
          <w:sz w:val="21"/>
          <w:szCs w:val="21"/>
          <w:lang w:eastAsia="zh-CN"/>
        </w:rPr>
        <w:t>生态环境状况</w:t>
      </w:r>
    </w:p>
    <w:p w14:paraId="49193AB8">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B.1.1  大气环境</w:t>
      </w:r>
    </w:p>
    <w:p w14:paraId="64A7FC99">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大气环境的内容编制见示例</w:t>
      </w:r>
      <w:r>
        <w:rPr>
          <w:rFonts w:hint="eastAsia" w:hAnsi="宋体" w:cs="宋体"/>
          <w:bCs/>
          <w:color w:val="auto"/>
          <w:sz w:val="21"/>
          <w:szCs w:val="21"/>
          <w:lang w:val="en-US" w:eastAsia="zh-CN"/>
        </w:rPr>
        <w:t>B</w:t>
      </w:r>
      <w:r>
        <w:rPr>
          <w:rFonts w:hint="eastAsia" w:ascii="宋体" w:hAnsi="宋体" w:eastAsia="宋体" w:cs="宋体"/>
          <w:bCs/>
          <w:color w:val="auto"/>
          <w:sz w:val="21"/>
          <w:szCs w:val="21"/>
          <w:lang w:val="en-US" w:eastAsia="zh-CN"/>
        </w:rPr>
        <w:t>.1。</w:t>
      </w:r>
    </w:p>
    <w:p w14:paraId="5BD1C6C1">
      <w:pPr>
        <w:pStyle w:val="24"/>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示例</w:t>
      </w:r>
      <w:r>
        <w:rPr>
          <w:rFonts w:hint="eastAsia" w:hAnsi="宋体" w:cs="宋体"/>
          <w:bCs/>
          <w:color w:val="auto"/>
          <w:sz w:val="21"/>
          <w:szCs w:val="21"/>
          <w:lang w:val="en-US" w:eastAsia="zh-CN"/>
        </w:rPr>
        <w:t>B</w:t>
      </w:r>
      <w:r>
        <w:rPr>
          <w:rFonts w:hint="eastAsia" w:ascii="宋体" w:hAnsi="宋体" w:eastAsia="宋体" w:cs="宋体"/>
          <w:bCs/>
          <w:color w:val="auto"/>
          <w:sz w:val="21"/>
          <w:szCs w:val="21"/>
          <w:lang w:val="en-US" w:eastAsia="zh-CN"/>
        </w:rPr>
        <w:t>.1：</w:t>
      </w:r>
    </w:p>
    <w:tbl>
      <w:tblPr>
        <w:tblStyle w:val="1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7850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571" w:type="dxa"/>
          </w:tcPr>
          <w:p w14:paraId="67AAAF2B">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0" w:firstLineChars="0"/>
              <w:jc w:val="left"/>
              <w:textAlignment w:val="auto"/>
              <w:outlineLvl w:val="9"/>
              <w:rPr>
                <w:rFonts w:hint="eastAsia" w:hAnsi="宋体"/>
                <w:bCs/>
                <w:color w:val="auto"/>
                <w:sz w:val="21"/>
                <w:szCs w:val="21"/>
              </w:rPr>
            </w:pPr>
            <w:r>
              <w:rPr>
                <w:rFonts w:hint="eastAsia" w:hAnsi="宋体"/>
                <w:bCs/>
                <w:color w:val="auto"/>
                <w:sz w:val="21"/>
                <w:szCs w:val="21"/>
              </w:rPr>
              <w:t>一、大气环境</w:t>
            </w:r>
          </w:p>
          <w:p w14:paraId="054CD466">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0" w:firstLineChars="0"/>
              <w:jc w:val="left"/>
              <w:textAlignment w:val="auto"/>
              <w:outlineLvl w:val="9"/>
              <w:rPr>
                <w:rFonts w:hint="eastAsia" w:hAnsi="宋体"/>
                <w:bCs/>
                <w:color w:val="auto"/>
                <w:sz w:val="21"/>
                <w:szCs w:val="21"/>
              </w:rPr>
            </w:pPr>
            <w:r>
              <w:rPr>
                <w:rFonts w:hint="eastAsia" w:hAnsi="宋体"/>
                <w:bCs/>
                <w:color w:val="auto"/>
                <w:sz w:val="21"/>
                <w:szCs w:val="21"/>
              </w:rPr>
              <w:t>（一）城市环境空气</w:t>
            </w:r>
          </w:p>
          <w:p w14:paraId="40F77F09">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2024年，按照《环境空气质量标准》（GB 3095-2012）及修改单评价，全省21个地级以上市中，19市二氧化硫（SO</w:t>
            </w:r>
            <w:r>
              <w:rPr>
                <w:rFonts w:hint="eastAsia" w:hAnsi="宋体"/>
                <w:bCs/>
                <w:color w:val="auto"/>
                <w:sz w:val="21"/>
                <w:szCs w:val="21"/>
                <w:vertAlign w:val="subscript"/>
              </w:rPr>
              <w:t>2</w:t>
            </w:r>
            <w:r>
              <w:rPr>
                <w:rFonts w:hint="eastAsia" w:hAnsi="宋体"/>
                <w:bCs/>
                <w:color w:val="auto"/>
                <w:sz w:val="21"/>
                <w:szCs w:val="21"/>
              </w:rPr>
              <w:t>）、二氧化氮（NO</w:t>
            </w:r>
            <w:r>
              <w:rPr>
                <w:rFonts w:hint="eastAsia" w:hAnsi="宋体"/>
                <w:bCs/>
                <w:color w:val="auto"/>
                <w:sz w:val="21"/>
                <w:szCs w:val="21"/>
                <w:vertAlign w:val="subscript"/>
              </w:rPr>
              <w:t>2</w:t>
            </w:r>
            <w:r>
              <w:rPr>
                <w:rFonts w:hint="eastAsia" w:hAnsi="宋体"/>
                <w:bCs/>
                <w:color w:val="auto"/>
                <w:sz w:val="21"/>
                <w:szCs w:val="21"/>
              </w:rPr>
              <w:t>）、可吸入颗粒物（PM</w:t>
            </w:r>
            <w:r>
              <w:rPr>
                <w:rFonts w:hint="eastAsia" w:hAnsi="宋体"/>
                <w:bCs/>
                <w:color w:val="auto"/>
                <w:sz w:val="21"/>
                <w:szCs w:val="21"/>
                <w:vertAlign w:val="subscript"/>
              </w:rPr>
              <w:t>10</w:t>
            </w:r>
            <w:r>
              <w:rPr>
                <w:rFonts w:hint="eastAsia" w:hAnsi="宋体"/>
                <w:bCs/>
                <w:color w:val="auto"/>
                <w:sz w:val="21"/>
                <w:szCs w:val="21"/>
              </w:rPr>
              <w:t>）、细颗粒物（PM</w:t>
            </w:r>
            <w:r>
              <w:rPr>
                <w:rFonts w:hint="eastAsia" w:hAnsi="宋体"/>
                <w:bCs/>
                <w:color w:val="auto"/>
                <w:sz w:val="21"/>
                <w:szCs w:val="21"/>
                <w:vertAlign w:val="subscript"/>
              </w:rPr>
              <w:t>2.5</w:t>
            </w:r>
            <w:r>
              <w:rPr>
                <w:rFonts w:hint="eastAsia" w:hAnsi="宋体"/>
                <w:bCs/>
                <w:color w:val="auto"/>
                <w:sz w:val="21"/>
                <w:szCs w:val="21"/>
              </w:rPr>
              <w:t>）、臭氧（O</w:t>
            </w:r>
            <w:r>
              <w:rPr>
                <w:rFonts w:hint="eastAsia" w:hAnsi="宋体"/>
                <w:bCs/>
                <w:color w:val="auto"/>
                <w:sz w:val="21"/>
                <w:szCs w:val="21"/>
                <w:vertAlign w:val="subscript"/>
              </w:rPr>
              <w:t>3</w:t>
            </w:r>
            <w:r>
              <w:rPr>
                <w:rFonts w:hint="eastAsia" w:hAnsi="宋体"/>
                <w:bCs/>
                <w:color w:val="auto"/>
                <w:sz w:val="21"/>
                <w:szCs w:val="21"/>
              </w:rPr>
              <w:t>）、一氧化碳（CO）六项污染物年评价浓度均达到二级标准。</w:t>
            </w:r>
          </w:p>
          <w:p w14:paraId="2517B4C5">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各城市环境空气质量达标天数比例（AQI达标率）在88.0%～99.7%之间，平均为95.8%，较去年上升1.0个百分点，19市达标天数比例高于90.0%。全省首要污染物主要为O</w:t>
            </w:r>
            <w:r>
              <w:rPr>
                <w:rFonts w:hint="eastAsia" w:hAnsi="宋体"/>
                <w:bCs/>
                <w:color w:val="auto"/>
                <w:sz w:val="21"/>
                <w:szCs w:val="21"/>
                <w:vertAlign w:val="subscript"/>
              </w:rPr>
              <w:t>3</w:t>
            </w:r>
            <w:r>
              <w:rPr>
                <w:rFonts w:hint="eastAsia" w:hAnsi="宋体"/>
                <w:bCs/>
                <w:color w:val="auto"/>
                <w:sz w:val="21"/>
                <w:szCs w:val="21"/>
              </w:rPr>
              <w:t>（占首要污染物比例为76.5%），其次为PM</w:t>
            </w:r>
            <w:r>
              <w:rPr>
                <w:rFonts w:hint="eastAsia" w:hAnsi="宋体"/>
                <w:bCs/>
                <w:color w:val="auto"/>
                <w:sz w:val="21"/>
                <w:szCs w:val="21"/>
                <w:vertAlign w:val="subscript"/>
              </w:rPr>
              <w:t>2.5</w:t>
            </w:r>
            <w:r>
              <w:rPr>
                <w:rFonts w:hint="eastAsia" w:hAnsi="宋体"/>
                <w:bCs/>
                <w:color w:val="auto"/>
                <w:sz w:val="21"/>
                <w:szCs w:val="21"/>
              </w:rPr>
              <w:t>（占13.3%）和PM</w:t>
            </w:r>
            <w:r>
              <w:rPr>
                <w:rFonts w:hint="eastAsia" w:hAnsi="宋体"/>
                <w:bCs/>
                <w:color w:val="auto"/>
                <w:sz w:val="21"/>
                <w:szCs w:val="21"/>
                <w:vertAlign w:val="subscript"/>
              </w:rPr>
              <w:t>10</w:t>
            </w:r>
            <w:r>
              <w:rPr>
                <w:rFonts w:hint="eastAsia" w:hAnsi="宋体"/>
                <w:bCs/>
                <w:color w:val="auto"/>
                <w:sz w:val="21"/>
                <w:szCs w:val="21"/>
              </w:rPr>
              <w:t>（占6.7%）。</w:t>
            </w:r>
          </w:p>
          <w:p w14:paraId="6BD734B9">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珠三角9市AQI达标率在88.0%～97.0%之间，平均为93.0%，较去年上升1.8个百分点。首要污染物主要为O</w:t>
            </w:r>
            <w:r>
              <w:rPr>
                <w:rFonts w:hint="eastAsia" w:hAnsi="宋体"/>
                <w:bCs/>
                <w:color w:val="auto"/>
                <w:sz w:val="21"/>
                <w:szCs w:val="21"/>
                <w:vertAlign w:val="subscript"/>
              </w:rPr>
              <w:t>3</w:t>
            </w:r>
            <w:r>
              <w:rPr>
                <w:rFonts w:hint="eastAsia" w:hAnsi="宋体"/>
                <w:bCs/>
                <w:color w:val="auto"/>
                <w:sz w:val="21"/>
                <w:szCs w:val="21"/>
              </w:rPr>
              <w:t>（占首要污染物比例为78.7%），其次为PM</w:t>
            </w:r>
            <w:r>
              <w:rPr>
                <w:rFonts w:hint="eastAsia" w:hAnsi="宋体"/>
                <w:bCs/>
                <w:color w:val="auto"/>
                <w:sz w:val="21"/>
                <w:szCs w:val="21"/>
                <w:vertAlign w:val="subscript"/>
              </w:rPr>
              <w:t>2.5</w:t>
            </w:r>
            <w:r>
              <w:rPr>
                <w:rFonts w:hint="eastAsia" w:hAnsi="宋体"/>
                <w:bCs/>
                <w:color w:val="auto"/>
                <w:sz w:val="21"/>
                <w:szCs w:val="21"/>
              </w:rPr>
              <w:t>（占8.5%）和NO</w:t>
            </w:r>
            <w:r>
              <w:rPr>
                <w:rFonts w:hint="eastAsia" w:hAnsi="宋体"/>
                <w:bCs/>
                <w:color w:val="auto"/>
                <w:sz w:val="21"/>
                <w:szCs w:val="21"/>
                <w:vertAlign w:val="subscript"/>
              </w:rPr>
              <w:t>2</w:t>
            </w:r>
            <w:r>
              <w:rPr>
                <w:rFonts w:hint="eastAsia" w:hAnsi="宋体"/>
                <w:bCs/>
                <w:color w:val="auto"/>
                <w:sz w:val="21"/>
                <w:szCs w:val="21"/>
              </w:rPr>
              <w:t>（占6.9%）。</w:t>
            </w:r>
          </w:p>
          <w:p w14:paraId="3149CB2B">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粤东西北12市AQI达标率在96.4%～99.7%之间，平均为98.0%，较去年上升0.5个百分点。首要污染物主要为O</w:t>
            </w:r>
            <w:r>
              <w:rPr>
                <w:rFonts w:hint="eastAsia" w:hAnsi="宋体"/>
                <w:bCs/>
                <w:color w:val="auto"/>
                <w:sz w:val="21"/>
                <w:szCs w:val="21"/>
                <w:vertAlign w:val="subscript"/>
              </w:rPr>
              <w:t>3</w:t>
            </w:r>
            <w:r>
              <w:rPr>
                <w:rFonts w:hint="eastAsia" w:hAnsi="宋体"/>
                <w:bCs/>
                <w:color w:val="auto"/>
                <w:sz w:val="21"/>
                <w:szCs w:val="21"/>
              </w:rPr>
              <w:t>（占首要污染物比例为74.7%），其次为PM</w:t>
            </w:r>
            <w:r>
              <w:rPr>
                <w:rFonts w:hint="eastAsia" w:hAnsi="宋体"/>
                <w:bCs/>
                <w:color w:val="auto"/>
                <w:sz w:val="21"/>
                <w:szCs w:val="21"/>
                <w:vertAlign w:val="subscript"/>
              </w:rPr>
              <w:t>2.5</w:t>
            </w:r>
            <w:r>
              <w:rPr>
                <w:rFonts w:hint="eastAsia" w:hAnsi="宋体"/>
                <w:bCs/>
                <w:color w:val="auto"/>
                <w:sz w:val="21"/>
                <w:szCs w:val="21"/>
              </w:rPr>
              <w:t>（占17.6%）和PM</w:t>
            </w:r>
            <w:r>
              <w:rPr>
                <w:rFonts w:hint="eastAsia" w:hAnsi="宋体"/>
                <w:bCs/>
                <w:color w:val="auto"/>
                <w:sz w:val="21"/>
                <w:szCs w:val="21"/>
                <w:vertAlign w:val="subscript"/>
              </w:rPr>
              <w:t>10</w:t>
            </w:r>
            <w:r>
              <w:rPr>
                <w:rFonts w:hint="eastAsia" w:hAnsi="宋体"/>
                <w:bCs/>
                <w:color w:val="auto"/>
                <w:sz w:val="21"/>
                <w:szCs w:val="21"/>
              </w:rPr>
              <w:t>（占7.3%）。</w:t>
            </w:r>
          </w:p>
          <w:p w14:paraId="535ED8D7">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全省SO</w:t>
            </w:r>
            <w:r>
              <w:rPr>
                <w:rFonts w:hint="eastAsia" w:hAnsi="宋体"/>
                <w:bCs/>
                <w:color w:val="auto"/>
                <w:sz w:val="21"/>
                <w:szCs w:val="21"/>
                <w:vertAlign w:val="subscript"/>
              </w:rPr>
              <w:t>2</w:t>
            </w:r>
            <w:r>
              <w:rPr>
                <w:rFonts w:hint="eastAsia" w:hAnsi="宋体"/>
                <w:bCs/>
                <w:color w:val="auto"/>
                <w:sz w:val="21"/>
                <w:szCs w:val="21"/>
              </w:rPr>
              <w:t>年平均浓度为7微克/立方米，与去年持平；各市年平均浓度范围为5～12微克/立方米，均达到国家一级标准。</w:t>
            </w:r>
          </w:p>
          <w:p w14:paraId="5B216DE4">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全省NO</w:t>
            </w:r>
            <w:r>
              <w:rPr>
                <w:rFonts w:hint="eastAsia" w:hAnsi="宋体"/>
                <w:bCs/>
                <w:color w:val="auto"/>
                <w:sz w:val="21"/>
                <w:szCs w:val="21"/>
                <w:vertAlign w:val="subscript"/>
              </w:rPr>
              <w:t>2</w:t>
            </w:r>
            <w:r>
              <w:rPr>
                <w:rFonts w:hint="eastAsia" w:hAnsi="宋体"/>
                <w:bCs/>
                <w:color w:val="auto"/>
                <w:sz w:val="21"/>
                <w:szCs w:val="21"/>
              </w:rPr>
              <w:t>年平均浓度为18微克/立方米，较去年下降5.3%；各市年平均浓度范围为10～29微克/立方米，均达到国家一级标准。</w:t>
            </w:r>
          </w:p>
          <w:p w14:paraId="11062BF0">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全省PM</w:t>
            </w:r>
            <w:r>
              <w:rPr>
                <w:rFonts w:hint="eastAsia" w:hAnsi="宋体"/>
                <w:bCs/>
                <w:color w:val="auto"/>
                <w:sz w:val="21"/>
                <w:szCs w:val="21"/>
                <w:vertAlign w:val="subscript"/>
              </w:rPr>
              <w:t>10</w:t>
            </w:r>
            <w:r>
              <w:rPr>
                <w:rFonts w:hint="eastAsia" w:hAnsi="宋体"/>
                <w:bCs/>
                <w:color w:val="auto"/>
                <w:sz w:val="21"/>
                <w:szCs w:val="21"/>
              </w:rPr>
              <w:t>年平均浓度为35微克/立方米，较去年下降5.4%；各市年平均浓度范围为27～44微克/立方米，均达到国家二级标准。</w:t>
            </w:r>
          </w:p>
          <w:p w14:paraId="2DC2A529">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全省PM</w:t>
            </w:r>
            <w:r>
              <w:rPr>
                <w:rFonts w:hint="eastAsia" w:hAnsi="宋体"/>
                <w:bCs/>
                <w:color w:val="auto"/>
                <w:sz w:val="21"/>
                <w:szCs w:val="21"/>
                <w:vertAlign w:val="subscript"/>
              </w:rPr>
              <w:t>2.5</w:t>
            </w:r>
            <w:r>
              <w:rPr>
                <w:rFonts w:hint="eastAsia" w:hAnsi="宋体"/>
                <w:bCs/>
                <w:color w:val="auto"/>
                <w:sz w:val="21"/>
                <w:szCs w:val="21"/>
              </w:rPr>
              <w:t>年平均浓度为21微克/立方米，与去年持平；各市年平均浓度范围为17～25微克/立方米，均达到国家二级标准，全省21个地级以上市均达到世卫组织第二阶段标准。</w:t>
            </w:r>
          </w:p>
          <w:p w14:paraId="7E3986E8">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eastAsia="zh-CN"/>
              </w:rPr>
            </w:pPr>
            <w:r>
              <w:rPr>
                <w:rFonts w:hint="eastAsia" w:hAnsi="宋体"/>
                <w:bCs/>
                <w:color w:val="auto"/>
                <w:sz w:val="21"/>
                <w:szCs w:val="21"/>
              </w:rPr>
              <w:t>全省O</w:t>
            </w:r>
            <w:r>
              <w:rPr>
                <w:rFonts w:hint="eastAsia" w:hAnsi="宋体"/>
                <w:bCs/>
                <w:color w:val="auto"/>
                <w:sz w:val="21"/>
                <w:szCs w:val="21"/>
                <w:vertAlign w:val="subscript"/>
              </w:rPr>
              <w:t>3</w:t>
            </w:r>
            <w:r>
              <w:rPr>
                <w:rFonts w:hint="eastAsia" w:hAnsi="宋体"/>
                <w:bCs/>
                <w:color w:val="auto"/>
                <w:sz w:val="21"/>
                <w:szCs w:val="21"/>
              </w:rPr>
              <w:t>年评价浓度为138微克/立方米，较去年下降3.5%；各市平均浓度范围为106～170微克/立方米，除江门、东莞外，其余19市均达到国家二级标准</w:t>
            </w:r>
            <w:r>
              <w:rPr>
                <w:rFonts w:hint="eastAsia" w:hAnsi="宋体"/>
                <w:bCs/>
                <w:color w:val="auto"/>
                <w:sz w:val="21"/>
                <w:szCs w:val="21"/>
                <w:lang w:eastAsia="zh-CN"/>
              </w:rPr>
              <w:t>。</w:t>
            </w:r>
          </w:p>
          <w:p w14:paraId="531E74AE">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CO年评价浓度为0.8毫克/立方米，与去年持平；各市平均浓度范围为0.7～0.9毫克/立方米，均达到国家一级标准。</w:t>
            </w:r>
          </w:p>
          <w:p w14:paraId="4172BA4E">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eastAsia="zh-CN"/>
              </w:rPr>
            </w:pPr>
            <w:r>
              <w:rPr>
                <w:rFonts w:hint="eastAsia" w:hAnsi="宋体"/>
                <w:bCs/>
                <w:color w:val="auto"/>
                <w:sz w:val="21"/>
                <w:szCs w:val="21"/>
              </w:rPr>
              <w:t>珠三角9市SO</w:t>
            </w:r>
            <w:r>
              <w:rPr>
                <w:rFonts w:hint="eastAsia" w:hAnsi="宋体"/>
                <w:bCs/>
                <w:color w:val="auto"/>
                <w:sz w:val="21"/>
                <w:szCs w:val="21"/>
                <w:vertAlign w:val="subscript"/>
              </w:rPr>
              <w:t>2</w:t>
            </w:r>
            <w:r>
              <w:rPr>
                <w:rFonts w:hint="eastAsia" w:hAnsi="宋体"/>
                <w:bCs/>
                <w:color w:val="auto"/>
                <w:sz w:val="21"/>
                <w:szCs w:val="21"/>
              </w:rPr>
              <w:t>年平均浓度为6微克/立方米，与去年持平；NO</w:t>
            </w:r>
            <w:r>
              <w:rPr>
                <w:rFonts w:hint="eastAsia" w:hAnsi="宋体"/>
                <w:bCs/>
                <w:color w:val="auto"/>
                <w:sz w:val="21"/>
                <w:szCs w:val="21"/>
                <w:vertAlign w:val="subscript"/>
              </w:rPr>
              <w:t>2</w:t>
            </w:r>
            <w:r>
              <w:rPr>
                <w:rFonts w:hint="eastAsia" w:hAnsi="宋体"/>
                <w:bCs/>
                <w:color w:val="auto"/>
                <w:sz w:val="21"/>
                <w:szCs w:val="21"/>
              </w:rPr>
              <w:t>年平均浓度为22微克/立方米，较去年下降4.3%；PM</w:t>
            </w:r>
            <w:r>
              <w:rPr>
                <w:rFonts w:hint="eastAsia" w:hAnsi="宋体"/>
                <w:bCs/>
                <w:color w:val="auto"/>
                <w:sz w:val="21"/>
                <w:szCs w:val="21"/>
                <w:vertAlign w:val="subscript"/>
              </w:rPr>
              <w:t>10</w:t>
            </w:r>
            <w:r>
              <w:rPr>
                <w:rFonts w:hint="eastAsia" w:hAnsi="宋体"/>
                <w:bCs/>
                <w:color w:val="auto"/>
                <w:sz w:val="21"/>
                <w:szCs w:val="21"/>
              </w:rPr>
              <w:t>年平均浓度为35微克/立方米，较去年下降5.4%；PM</w:t>
            </w:r>
            <w:r>
              <w:rPr>
                <w:rFonts w:hint="eastAsia" w:hAnsi="宋体"/>
                <w:bCs/>
                <w:color w:val="auto"/>
                <w:sz w:val="21"/>
                <w:szCs w:val="21"/>
                <w:vertAlign w:val="subscript"/>
              </w:rPr>
              <w:t>2.5</w:t>
            </w:r>
            <w:r>
              <w:rPr>
                <w:rFonts w:hint="eastAsia" w:hAnsi="宋体"/>
                <w:bCs/>
                <w:color w:val="auto"/>
                <w:sz w:val="21"/>
                <w:szCs w:val="21"/>
              </w:rPr>
              <w:t>年平均浓度为20微克/立方米，较去年下降4.8%；O</w:t>
            </w:r>
            <w:r>
              <w:rPr>
                <w:rFonts w:hint="eastAsia" w:hAnsi="宋体"/>
                <w:bCs/>
                <w:color w:val="auto"/>
                <w:sz w:val="21"/>
                <w:szCs w:val="21"/>
                <w:vertAlign w:val="subscript"/>
              </w:rPr>
              <w:t>3</w:t>
            </w:r>
            <w:r>
              <w:rPr>
                <w:rFonts w:hint="eastAsia" w:hAnsi="宋体"/>
                <w:bCs/>
                <w:color w:val="auto"/>
                <w:sz w:val="21"/>
                <w:szCs w:val="21"/>
              </w:rPr>
              <w:t>年评价浓度为150微克/立方米，较去年下降3.2%；CO年评价浓度为0.8毫克/立方米，与去年持平</w:t>
            </w:r>
            <w:r>
              <w:rPr>
                <w:rFonts w:hint="eastAsia" w:hAnsi="宋体"/>
                <w:bCs/>
                <w:color w:val="auto"/>
                <w:sz w:val="21"/>
                <w:szCs w:val="21"/>
                <w:lang w:eastAsia="zh-CN"/>
              </w:rPr>
              <w:t>。</w:t>
            </w:r>
          </w:p>
          <w:p w14:paraId="2978B013">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粤东西北12市SO</w:t>
            </w:r>
            <w:r>
              <w:rPr>
                <w:rFonts w:hint="eastAsia" w:hAnsi="宋体"/>
                <w:bCs/>
                <w:color w:val="auto"/>
                <w:sz w:val="21"/>
                <w:szCs w:val="21"/>
                <w:vertAlign w:val="subscript"/>
              </w:rPr>
              <w:t>2</w:t>
            </w:r>
            <w:r>
              <w:rPr>
                <w:rFonts w:hint="eastAsia" w:hAnsi="宋体"/>
                <w:bCs/>
                <w:color w:val="auto"/>
                <w:sz w:val="21"/>
                <w:szCs w:val="21"/>
              </w:rPr>
              <w:t>年平均浓度为8微克/立方米，与去年持平；NO</w:t>
            </w:r>
            <w:r>
              <w:rPr>
                <w:rFonts w:hint="eastAsia" w:hAnsi="宋体"/>
                <w:bCs/>
                <w:color w:val="auto"/>
                <w:sz w:val="21"/>
                <w:szCs w:val="21"/>
                <w:vertAlign w:val="subscript"/>
              </w:rPr>
              <w:t>2</w:t>
            </w:r>
            <w:r>
              <w:rPr>
                <w:rFonts w:hint="eastAsia" w:hAnsi="宋体"/>
                <w:bCs/>
                <w:color w:val="auto"/>
                <w:sz w:val="21"/>
                <w:szCs w:val="21"/>
              </w:rPr>
              <w:t>年平均浓度为14微克/立方米，较去年下降6.7%；PM</w:t>
            </w:r>
            <w:r>
              <w:rPr>
                <w:rFonts w:hint="eastAsia" w:hAnsi="宋体"/>
                <w:bCs/>
                <w:color w:val="auto"/>
                <w:sz w:val="21"/>
                <w:szCs w:val="21"/>
                <w:vertAlign w:val="subscript"/>
              </w:rPr>
              <w:t>10</w:t>
            </w:r>
            <w:r>
              <w:rPr>
                <w:rFonts w:hint="eastAsia" w:hAnsi="宋体"/>
                <w:bCs/>
                <w:color w:val="auto"/>
                <w:sz w:val="21"/>
                <w:szCs w:val="21"/>
              </w:rPr>
              <w:t>年平均浓度为34微克/立方米，较去年下降8.1%；PM</w:t>
            </w:r>
            <w:r>
              <w:rPr>
                <w:rFonts w:hint="eastAsia" w:hAnsi="宋体"/>
                <w:bCs/>
                <w:color w:val="auto"/>
                <w:sz w:val="21"/>
                <w:szCs w:val="21"/>
                <w:vertAlign w:val="subscript"/>
              </w:rPr>
              <w:t>2.5</w:t>
            </w:r>
            <w:r>
              <w:rPr>
                <w:rFonts w:hint="eastAsia" w:hAnsi="宋体"/>
                <w:bCs/>
                <w:color w:val="auto"/>
                <w:sz w:val="21"/>
                <w:szCs w:val="21"/>
              </w:rPr>
              <w:t>年平均浓度为21微克/立方米，与去年持平；O</w:t>
            </w:r>
            <w:r>
              <w:rPr>
                <w:rFonts w:hint="eastAsia" w:hAnsi="宋体"/>
                <w:bCs/>
                <w:color w:val="auto"/>
                <w:sz w:val="21"/>
                <w:szCs w:val="21"/>
                <w:vertAlign w:val="subscript"/>
              </w:rPr>
              <w:t>3</w:t>
            </w:r>
            <w:r>
              <w:rPr>
                <w:rFonts w:hint="eastAsia" w:hAnsi="宋体"/>
                <w:bCs/>
                <w:color w:val="auto"/>
                <w:sz w:val="21"/>
                <w:szCs w:val="21"/>
              </w:rPr>
              <w:t>年评价浓度为129微克/立方米，较去年下降3.7%；CO年评价浓度为0.8毫克/立方米，与去年持平。</w:t>
            </w:r>
          </w:p>
          <w:p w14:paraId="186B8E7D">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全省各市SO</w:t>
            </w:r>
            <w:r>
              <w:rPr>
                <w:rFonts w:hint="eastAsia" w:hAnsi="宋体"/>
                <w:bCs/>
                <w:color w:val="auto"/>
                <w:sz w:val="21"/>
                <w:szCs w:val="21"/>
                <w:vertAlign w:val="subscript"/>
              </w:rPr>
              <w:t>2</w:t>
            </w:r>
            <w:r>
              <w:rPr>
                <w:rFonts w:hint="eastAsia" w:hAnsi="宋体"/>
                <w:bCs/>
                <w:color w:val="auto"/>
                <w:sz w:val="21"/>
                <w:szCs w:val="21"/>
              </w:rPr>
              <w:t>、CO日均浓度达标率均为100%；NO</w:t>
            </w:r>
            <w:r>
              <w:rPr>
                <w:rFonts w:hint="eastAsia" w:hAnsi="宋体"/>
                <w:bCs/>
                <w:color w:val="auto"/>
                <w:sz w:val="21"/>
                <w:szCs w:val="21"/>
                <w:vertAlign w:val="subscript"/>
              </w:rPr>
              <w:t>2</w:t>
            </w:r>
            <w:r>
              <w:rPr>
                <w:rFonts w:hint="eastAsia" w:hAnsi="宋体"/>
                <w:bCs/>
                <w:color w:val="auto"/>
                <w:sz w:val="21"/>
                <w:szCs w:val="21"/>
              </w:rPr>
              <w:t>日均浓度达标率在99.2%～100%之间；PM</w:t>
            </w:r>
            <w:r>
              <w:rPr>
                <w:rFonts w:hint="eastAsia" w:hAnsi="宋体"/>
                <w:bCs/>
                <w:color w:val="auto"/>
                <w:sz w:val="21"/>
                <w:szCs w:val="21"/>
                <w:vertAlign w:val="subscript"/>
              </w:rPr>
              <w:t>2.5</w:t>
            </w:r>
            <w:r>
              <w:rPr>
                <w:rFonts w:hint="eastAsia" w:hAnsi="宋体"/>
                <w:bCs/>
                <w:color w:val="auto"/>
                <w:sz w:val="21"/>
                <w:szCs w:val="21"/>
              </w:rPr>
              <w:t>日均浓度达标率在99.2%～100%之间；PM</w:t>
            </w:r>
            <w:r>
              <w:rPr>
                <w:rFonts w:hint="eastAsia" w:hAnsi="宋体"/>
                <w:bCs/>
                <w:color w:val="auto"/>
                <w:sz w:val="21"/>
                <w:szCs w:val="21"/>
                <w:vertAlign w:val="subscript"/>
              </w:rPr>
              <w:t>10</w:t>
            </w:r>
            <w:r>
              <w:rPr>
                <w:rFonts w:hint="eastAsia" w:hAnsi="宋体"/>
                <w:bCs/>
                <w:color w:val="auto"/>
                <w:sz w:val="21"/>
                <w:szCs w:val="21"/>
              </w:rPr>
              <w:t>日均浓度达标率在99.7%～100%之间；O</w:t>
            </w:r>
            <w:r>
              <w:rPr>
                <w:rFonts w:hint="eastAsia" w:hAnsi="宋体"/>
                <w:bCs/>
                <w:color w:val="auto"/>
                <w:sz w:val="21"/>
                <w:szCs w:val="21"/>
                <w:vertAlign w:val="subscript"/>
              </w:rPr>
              <w:t>3</w:t>
            </w:r>
            <w:r>
              <w:rPr>
                <w:rFonts w:hint="eastAsia" w:hAnsi="宋体"/>
                <w:bCs/>
                <w:color w:val="auto"/>
                <w:sz w:val="21"/>
                <w:szCs w:val="21"/>
              </w:rPr>
              <w:t>-8h达标率在88.5%～99.7%之间。</w:t>
            </w:r>
          </w:p>
          <w:p w14:paraId="0A828E37">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val="en-US" w:eastAsia="zh-CN"/>
              </w:rPr>
            </w:pPr>
            <w:r>
              <w:rPr>
                <w:rFonts w:hint="eastAsia" w:hAnsi="宋体"/>
                <w:bCs/>
                <w:color w:val="auto"/>
                <w:sz w:val="21"/>
                <w:szCs w:val="21"/>
              </w:rPr>
              <w:t>全省各市按照环境空气质量综合指数排名，梅州、汕尾和河源位列前三，江门、佛山和广州位列后三；与去年相比，茂名、湛江和汕尾环境空气质量有所变差，其余18市均有所改善。</w:t>
            </w:r>
          </w:p>
        </w:tc>
      </w:tr>
    </w:tbl>
    <w:p w14:paraId="19B4C970">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B.1.2  地表水环境</w:t>
      </w:r>
    </w:p>
    <w:p w14:paraId="65EE4CA7">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地表水环境的内容编制见示例B.2。</w:t>
      </w:r>
    </w:p>
    <w:p w14:paraId="15053430">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示例B.2：</w:t>
      </w:r>
    </w:p>
    <w:tbl>
      <w:tblPr>
        <w:tblStyle w:val="1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1E01B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trPr>
        <w:tc>
          <w:tcPr>
            <w:tcW w:w="9571" w:type="dxa"/>
          </w:tcPr>
          <w:p w14:paraId="495B14F3">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二、地表水环境</w:t>
            </w:r>
          </w:p>
          <w:p w14:paraId="00139218">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（一）饮用水源</w:t>
            </w:r>
          </w:p>
          <w:p w14:paraId="087CC7A5">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2024年，全省21个地级以上市对96个在用集中式供水饮用水水源地水质开展了监测，按照《地表水环境质量标准》评价，水源达标率为100%，同比持平；汕头、韶关、河源、肇庆、惠州、中山、潮州、云浮8市水质全优。</w:t>
            </w:r>
          </w:p>
          <w:p w14:paraId="1E41E139">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按照《地表水环境质量标准》评价，全省60个县（县级市）及2个经济技术开发区对县级行政单位所在镇的96个集中式供水饮用水水源地，水源达标率为100%，同比持平。全省县级饮用水水源水质以Ⅱ类为主，水质总体优良。</w:t>
            </w:r>
          </w:p>
          <w:p w14:paraId="7D9B213E">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val="en-US" w:eastAsia="zh-CN"/>
              </w:rPr>
            </w:pPr>
            <w:r>
              <w:rPr>
                <w:rFonts w:hint="eastAsia" w:ascii="宋体" w:hAnsi="宋体" w:eastAsia="宋体" w:cs="宋体"/>
                <w:bCs/>
                <w:color w:val="auto"/>
                <w:sz w:val="21"/>
                <w:szCs w:val="21"/>
                <w:lang w:val="en-US" w:eastAsia="zh-CN"/>
              </w:rPr>
              <w:t>按照《地表水环境质量标准》及《地下水质量标准》评价，全省19个城市（深圳、珠海市无农村饮用水源）582个农村“千吨万人”饮用水水源地，剔除本底影响后，水源达标率为99.7%。</w:t>
            </w:r>
          </w:p>
        </w:tc>
      </w:tr>
    </w:tbl>
    <w:p w14:paraId="1D123630">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B.1.3  海洋环境</w:t>
      </w:r>
    </w:p>
    <w:p w14:paraId="34F534C2">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海洋环境的内容编制见示例B.3。</w:t>
      </w:r>
    </w:p>
    <w:p w14:paraId="1CE3E6BB">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示例B.3：</w:t>
      </w:r>
    </w:p>
    <w:tbl>
      <w:tblPr>
        <w:tblStyle w:val="1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55CF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4" w:hRule="atLeast"/>
        </w:trPr>
        <w:tc>
          <w:tcPr>
            <w:tcW w:w="9571" w:type="dxa"/>
          </w:tcPr>
          <w:p w14:paraId="6E6B192B">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三、海洋环境</w:t>
            </w:r>
          </w:p>
          <w:p w14:paraId="20DF3ADC">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（一）海水环境质量</w:t>
            </w:r>
          </w:p>
          <w:p w14:paraId="43253089">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2024年，全省近岸海域水质年均优良（一、二类）比例为90.6%，一类、二类、三类、四类和劣四类水质比例分别为81.5%、9.1%、2.0%、1.7%、5.7%。劣四类水质主要分布在珠江口、湛江港、汕头港等河口海湾，主要超标指标为无机氮和活性磷酸盐。</w:t>
            </w:r>
          </w:p>
          <w:p w14:paraId="4320C0B0">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val="en-US" w:eastAsia="zh-CN"/>
              </w:rPr>
            </w:pPr>
            <w:r>
              <w:rPr>
                <w:rFonts w:hint="eastAsia" w:ascii="宋体" w:hAnsi="宋体" w:eastAsia="宋体" w:cs="宋体"/>
                <w:bCs/>
                <w:color w:val="auto"/>
                <w:sz w:val="21"/>
                <w:szCs w:val="21"/>
                <w:lang w:val="en-US" w:eastAsia="zh-CN"/>
              </w:rPr>
              <w:t>与去年相比，全省近岸海域水质年均优良比例下降1.7个百分点，劣四类比例上升2.2个百分点。</w:t>
            </w:r>
          </w:p>
        </w:tc>
      </w:tr>
    </w:tbl>
    <w:p w14:paraId="3C818B2D">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B.1.4  自然生态</w:t>
      </w:r>
    </w:p>
    <w:p w14:paraId="62F58A87">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自然生态的内容编制见示例B.4。</w:t>
      </w:r>
    </w:p>
    <w:p w14:paraId="4B383AF2">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示例B.4：</w:t>
      </w:r>
    </w:p>
    <w:tbl>
      <w:tblPr>
        <w:tblStyle w:val="1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5910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9" w:hRule="atLeast"/>
        </w:trPr>
        <w:tc>
          <w:tcPr>
            <w:tcW w:w="9571" w:type="dxa"/>
          </w:tcPr>
          <w:p w14:paraId="448336D3">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四、自然生态</w:t>
            </w:r>
          </w:p>
          <w:p w14:paraId="05E0B147">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（一）生态质量指数（EQI）</w:t>
            </w:r>
          </w:p>
          <w:p w14:paraId="182B1A2B">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2023年，全省生态质量指数（EQI）为72.04，生态质量为一类（EQI≥70）。</w:t>
            </w:r>
          </w:p>
          <w:p w14:paraId="713FDF76">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全省21个地级以上市中，大部分地市生态质量为一类、二类，其中河源、梅州、韶关、清远、汕尾、江门、肇庆、云浮、惠州、阳江10市生态质量为一类，占47.6%；茂名、揭阳、湛江、潮州、广州、珠海、深圳、中山、佛山9市生态质量为二类（55≤EQI＜70），占42.9%；仅汕头和东莞2市生态质量为三类（40≤EQI＜55），占9.5%。合计一类、二类级别的市占评价单位总数90.5%，其面积占全省陆域面积97.4%。</w:t>
            </w:r>
          </w:p>
          <w:p w14:paraId="4268F957">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全省125个县级评价单元中，连南瑶族自治县、东源县、大鹏新区等57个县（区）生态质量为一类，占45.6%；化州市、云城区、南雄市等35个县（区）生态质量为二类，占28.0%；源城区、惠城区、福田区、惠阳区等32个县（区）生态质量为三类，占25.6%；仅荔湾区生态质量为四类，占0.8%。</w:t>
            </w:r>
          </w:p>
          <w:p w14:paraId="454F27BC">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val="en-US" w:eastAsia="zh-CN"/>
              </w:rPr>
            </w:pPr>
            <w:r>
              <w:rPr>
                <w:rFonts w:hint="eastAsia" w:hAnsi="宋体"/>
                <w:bCs/>
                <w:color w:val="auto"/>
                <w:sz w:val="21"/>
                <w:szCs w:val="21"/>
              </w:rPr>
              <w:t>与2022年相比，2023年全省生态质量基本稳定（ΔEQI=0.07，-1＜ΔEQI＜1）。21个地级以上市中，所有地市生态质量均基本稳定。125个县级评价单元中，高要区、武江区、澄海区和清城区4个县的生态质量轻微变好（1≤△EQI＜2），其余121个县（区）生态质量基本稳定。</w:t>
            </w:r>
          </w:p>
        </w:tc>
      </w:tr>
    </w:tbl>
    <w:p w14:paraId="4CD4D003">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B.1.5  声环境</w:t>
      </w:r>
    </w:p>
    <w:p w14:paraId="749B73D7">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声环境的内容编制见示例B.5。</w:t>
      </w:r>
    </w:p>
    <w:p w14:paraId="0074F6A4">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示例B.5：</w:t>
      </w:r>
    </w:p>
    <w:tbl>
      <w:tblPr>
        <w:tblStyle w:val="1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6E74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9" w:hRule="atLeast"/>
        </w:trPr>
        <w:tc>
          <w:tcPr>
            <w:tcW w:w="9571" w:type="dxa"/>
          </w:tcPr>
          <w:p w14:paraId="05818C3C">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五、声环境</w:t>
            </w:r>
          </w:p>
          <w:p w14:paraId="45F10981">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2024年，全省城市功能区声环境昼间达标率为79.2%～100%，平均为95.8%，汕头、韶关、梅州、汕尾、阳江、茂名、揭阳7市达标率为100%；夜间达标率为41.7%～100%，平均为85.2%，梅州市达标率为100%。</w:t>
            </w:r>
          </w:p>
          <w:p w14:paraId="4B2FCA3D">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全省城市区域环境噪声昼间等效声级平均值为56.1分贝，总体属于一般水平。声源以社会生活类声源和交通类声源为主，分别占64.3%和20.3%。深圳、汕头、梅州、湛江、茂名、肇庆、潮州、揭阳和云浮9市属于较好水平；广州、珠海、韶关、河源、惠州、汕尾、东莞、中山、江门、阳江和清远11市属于一般水平；佛山市属于较差水平。</w:t>
            </w:r>
          </w:p>
          <w:p w14:paraId="2C2EBF37">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全省城市道路交通噪声昼间总平均值为67.5分贝，总体属于好的水平。汕头、佛山、韶关、河源、梅州、惠州、汕尾、中山、阳江、茂名、肇庆、清远和揭阳13市属于好的水平；广州、深圳、珠海、东莞、江门、湛江和潮州7市属于较好水平；云浮市属于一般水平。</w:t>
            </w:r>
          </w:p>
          <w:p w14:paraId="69988EF8">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val="en-US" w:eastAsia="zh-CN"/>
              </w:rPr>
            </w:pPr>
            <w:r>
              <w:rPr>
                <w:rFonts w:hint="eastAsia" w:hAnsi="宋体"/>
                <w:bCs/>
                <w:color w:val="auto"/>
                <w:sz w:val="21"/>
                <w:szCs w:val="21"/>
              </w:rPr>
              <w:t>与去年相比，全省声环境质量基本稳定。全省城市区域昼间声环境质量基本稳定，噪声等效声级基本持平；其中深圳和清远市等效声级水平上升，惠州市等效声级水平下降。城市道路交通昼间声环境质量稳中有升，噪声等效声级下降0.7分贝；全省总体等效声级水平上升，其中佛山、韶关、河源、阳江和清远5市等效声级水平上升，珠海和云浮2市等效声级水平下降。城市功能区声环境质量基本稳定，昼间点次达标率下降0.1个百分点，夜间点次达标率提高0.8个百分点；其中韶关、河源、揭阳和云浮4市昼夜间点次达标率上升，东莞、江门和清远3市昼夜间点次达标率下降。</w:t>
            </w:r>
          </w:p>
        </w:tc>
      </w:tr>
    </w:tbl>
    <w:p w14:paraId="420FA103">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B.1.6  辐射环境</w:t>
      </w:r>
    </w:p>
    <w:p w14:paraId="4CE33CF2">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辐射环境的内容编制见示例B.6。</w:t>
      </w:r>
    </w:p>
    <w:p w14:paraId="068F2829">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示例B.6：</w:t>
      </w:r>
    </w:p>
    <w:tbl>
      <w:tblPr>
        <w:tblStyle w:val="1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5AE6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tcW w:w="9571" w:type="dxa"/>
          </w:tcPr>
          <w:p w14:paraId="50A0B7CB">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六、辐射环境</w:t>
            </w:r>
          </w:p>
          <w:p w14:paraId="5FE47852">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2024年，全省辐射环境质量总体良好。全省陆域环境γ辐射空气吸收剂量率水平处于本底涨落范围内，环境介质中的天然放射性核素浓度处于天然本底水平，人工放射性核素活度浓度未见异常。环境电磁辐射水平低于国家规定的电磁环境控制限值。</w:t>
            </w:r>
          </w:p>
          <w:p w14:paraId="5E0389A0">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（一）环境电离辐射质量</w:t>
            </w:r>
          </w:p>
          <w:p w14:paraId="4E18B66F">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2024年，全省11个主要地级市累积剂量以及29个环境质量辐射自动监测站测得的环境γ辐射空气吸收剂量率处于天然本底涨落范围内。</w:t>
            </w:r>
          </w:p>
          <w:p w14:paraId="73B21CEF">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气溶胶和沉降物中的天然放射性核素活度浓度处于天然本底水平，人工放射性核素活度浓度未见异常。空气（水蒸汽）和降水中氚活度浓度、空气中气态放射性碘同位素未见异常。</w:t>
            </w:r>
          </w:p>
          <w:p w14:paraId="1D656478">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地表水和地下水中天然放射性核素铀、钍和镭-226放射性处于本底水平，人工放射性核素锶-90和铯-137活度浓度未见异常；城市集中式饮用水源水中天然放射性核素铀、钍和镭-226放射性处于本底水平，总α和总β活度浓度低于《生活饮用水卫生标准》（GB5749—2022）规定的放射性指标指导值，人工放射性核素锶-90和铯-137活度浓度未见异常。</w:t>
            </w:r>
          </w:p>
          <w:p w14:paraId="1876B1D7">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全省近岸、近海海域以及核电周边海水中人工放射性核素锶-90和铯-137的活度浓度未见异常，低于《海水水质标准》（GB3097—1997）规定的限值；海洋生物中人工放射性核素锶-90和铯-137的活度浓度未见异常。</w:t>
            </w:r>
          </w:p>
          <w:p w14:paraId="4D6C122B">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val="en-US" w:eastAsia="zh-CN"/>
              </w:rPr>
            </w:pPr>
            <w:r>
              <w:rPr>
                <w:rFonts w:hint="eastAsia" w:hAnsi="宋体"/>
                <w:bCs/>
                <w:color w:val="auto"/>
                <w:sz w:val="21"/>
                <w:szCs w:val="21"/>
              </w:rPr>
              <w:t>全省土壤中铀-238、钍-232和镭-226等天然放射性核素活度浓度在历年监测数据波动范围内，人工放射性核素锶-90和铯-137活度浓度未见异常。</w:t>
            </w:r>
          </w:p>
        </w:tc>
      </w:tr>
    </w:tbl>
    <w:p w14:paraId="1AE504D9">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B.1.7  应对气候变化</w:t>
      </w:r>
    </w:p>
    <w:p w14:paraId="17115A90">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应对气候变化的内容编制见示例B.7。</w:t>
      </w:r>
    </w:p>
    <w:p w14:paraId="587241AC">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示例B.7：</w:t>
      </w:r>
    </w:p>
    <w:tbl>
      <w:tblPr>
        <w:tblStyle w:val="1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2A69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1" w:hRule="atLeast"/>
        </w:trPr>
        <w:tc>
          <w:tcPr>
            <w:tcW w:w="9571" w:type="dxa"/>
          </w:tcPr>
          <w:p w14:paraId="229CA7A9">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0" w:firstLineChars="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七、应对气候变化</w:t>
            </w:r>
          </w:p>
          <w:p w14:paraId="4B845730">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2024年，全省持续深化广东试点碳市场，有序扩大碳市场覆盖范围，新纳入陶瓷、数据中心、港口行业，鼓励纺织、机场等行业领域自愿加入广东碳市场。截至2024年底，广东省391家控排企业100%足额完成2023年度配额清缴义务，广东省碳排放配额累计成交量2.297亿吨，累计成交金额66.58亿元，均居全国区域碳市场首位。严把碳排放数据质量关，建立健全碳排放数据长效监管机制，把全国碳市场数据质量管理纳入“双随机、一公开”。</w:t>
            </w:r>
          </w:p>
          <w:p w14:paraId="64FDBEB7">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val="en-US" w:eastAsia="zh-CN"/>
              </w:rPr>
            </w:pPr>
            <w:r>
              <w:rPr>
                <w:rFonts w:hint="eastAsia" w:hAnsi="宋体"/>
                <w:bCs/>
                <w:color w:val="auto"/>
                <w:sz w:val="21"/>
                <w:szCs w:val="21"/>
              </w:rPr>
              <w:t>2024年，全省117家纳入全国碳市场重点排放单位全部按时完成履约，履约率达100%。广东省生态环境厅组织拍摄全国首个企业碳排放燃煤采制化验存储规范教学视频，为全国控排企业规范相关程序提供参照。深化广东碳普惠制，有效助力“百千万工程”和绿美广东生态建设。会同省林业局进一步优化林业碳普惠项目申报、核查、备案、交易流程，并联合印发全省林业碳普惠工作细则，根据国家出台的林业和红树林CCER方法学相应修订广东的碳普惠方法学，积极推动碳普惠工作落实落地，有序拓宽“绿水青山就是金山银山”的价值转化路径。截至2024年底，碳普惠核证减排量累计签发304.63万吨，为项目业主创收6719.62万元，其中为贫困村、苏区老区、民族地区创收约5357.19万元。积极推动实现粤港碳标签互认，完成首款同时获得广东碳标签证书和香港产品碳足迹标签证书的产品，“积极搭建广东碳标签平台着力推动大湾区碳标签互认”入选粤港澳大湾区规则衔接机制对接典型案例（第三批）。开展全省甲烷减排重大项目征集，联合7部门印发实施《广东省甲烷排放控制行动方案》，对全省甲烷排放控制提出阶段性目标和十二项重点行动，加快全省甲烷排放管控步伐。指导广州市南沙区和深圳市福田区高质量建设国家气候投融资试点，支持广州市南沙区召开2024年明珠湾国际气候投融资大会。</w:t>
            </w:r>
          </w:p>
        </w:tc>
      </w:tr>
    </w:tbl>
    <w:p w14:paraId="6F492B62">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B.2  措施与行动</w:t>
      </w:r>
    </w:p>
    <w:p w14:paraId="02191029">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措施与行动的内容编制见示例B.8。</w:t>
      </w:r>
    </w:p>
    <w:p w14:paraId="3D58B703">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示例B.8：</w:t>
      </w:r>
    </w:p>
    <w:tbl>
      <w:tblPr>
        <w:tblStyle w:val="1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20AF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8" w:hRule="atLeast"/>
        </w:trPr>
        <w:tc>
          <w:tcPr>
            <w:tcW w:w="9571" w:type="dxa"/>
          </w:tcPr>
          <w:p w14:paraId="5A924E7F">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0" w:firstLineChars="0"/>
              <w:jc w:val="left"/>
              <w:textAlignment w:val="auto"/>
              <w:outlineLvl w:val="9"/>
              <w:rPr>
                <w:rFonts w:hint="default" w:ascii="宋体" w:hAnsi="宋体" w:eastAsia="宋体" w:cs="宋体"/>
                <w:bCs/>
                <w:color w:val="auto"/>
                <w:sz w:val="21"/>
                <w:szCs w:val="21"/>
                <w:lang w:val="en-US" w:eastAsia="zh-CN"/>
              </w:rPr>
            </w:pPr>
            <w:r>
              <w:rPr>
                <w:rFonts w:hint="eastAsia" w:hAnsi="宋体" w:cs="宋体"/>
                <w:bCs/>
                <w:color w:val="auto"/>
                <w:sz w:val="21"/>
                <w:szCs w:val="21"/>
                <w:lang w:eastAsia="zh-CN"/>
              </w:rPr>
              <w:t>第二章</w:t>
            </w:r>
            <w:r>
              <w:rPr>
                <w:rFonts w:hint="eastAsia" w:hAnsi="宋体" w:cs="宋体"/>
                <w:bCs/>
                <w:color w:val="auto"/>
                <w:sz w:val="21"/>
                <w:szCs w:val="21"/>
                <w:lang w:val="en-US" w:eastAsia="zh-CN"/>
              </w:rPr>
              <w:t xml:space="preserve"> 措施与行动</w:t>
            </w:r>
          </w:p>
          <w:p w14:paraId="32E7AF29">
            <w:pPr>
              <w:pStyle w:val="24"/>
              <w:keepNext w:val="0"/>
              <w:keepLines w:val="0"/>
              <w:pageBreakBefore w:val="0"/>
              <w:widowControl w:val="0"/>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2024年，广东以绿美广东生态建设为牵引，全面推进美丽中国先行区建设，生态环境质量持续高位改善，国家污染防治攻坚战成效考核连续4年获评“优秀”，空气质量优良天数比率达95.8%，创有记录以来最好水平；PM</w:t>
            </w:r>
            <w:r>
              <w:rPr>
                <w:rFonts w:hint="eastAsia" w:ascii="宋体" w:hAnsi="宋体" w:eastAsia="宋体" w:cs="宋体"/>
                <w:bCs/>
                <w:color w:val="auto"/>
                <w:sz w:val="21"/>
                <w:szCs w:val="21"/>
                <w:vertAlign w:val="subscript"/>
                <w:lang w:eastAsia="zh-CN"/>
              </w:rPr>
              <w:t>2.5</w:t>
            </w:r>
            <w:r>
              <w:rPr>
                <w:rFonts w:hint="eastAsia" w:ascii="宋体" w:hAnsi="宋体" w:eastAsia="宋体" w:cs="宋体"/>
                <w:bCs/>
                <w:color w:val="auto"/>
                <w:sz w:val="21"/>
                <w:szCs w:val="21"/>
                <w:lang w:eastAsia="zh-CN"/>
              </w:rPr>
              <w:t>平均浓度降至20.6微克/立方米，连续5年稳定优于世界卫生组织过渡期第二阶段目标值。全省水环境质量连续7年稳步提升，地表水国考断面水质优良率达93.2%， 国考、省考断面水质首次全部达IV类及以上。</w:t>
            </w:r>
          </w:p>
          <w:p w14:paraId="7E0FB259">
            <w:pPr>
              <w:pStyle w:val="24"/>
              <w:keepNext w:val="0"/>
              <w:keepLines w:val="0"/>
              <w:pageBreakBefore w:val="0"/>
              <w:widowControl w:val="0"/>
              <w:numPr>
                <w:ilvl w:val="-1"/>
                <w:numId w:val="0"/>
              </w:numPr>
              <w:kinsoku/>
              <w:wordWrap/>
              <w:overflowPunct/>
              <w:topLinePunct w:val="0"/>
              <w:autoSpaceDE/>
              <w:autoSpaceDN/>
              <w:bidi w:val="0"/>
              <w:adjustRightInd w:val="0"/>
              <w:snapToGrid w:val="0"/>
              <w:spacing w:before="0" w:beforeLines="0" w:line="240" w:lineRule="auto"/>
              <w:ind w:right="0" w:rightChars="0" w:firstLine="0" w:firstLineChars="0"/>
              <w:jc w:val="left"/>
              <w:textAlignment w:val="auto"/>
              <w:outlineLvl w:val="9"/>
              <w:rPr>
                <w:rFonts w:hint="eastAsia" w:hAnsi="宋体"/>
                <w:bCs/>
                <w:color w:val="auto"/>
                <w:sz w:val="21"/>
                <w:szCs w:val="21"/>
              </w:rPr>
            </w:pPr>
            <w:r>
              <w:rPr>
                <w:rFonts w:hint="eastAsia" w:hAnsi="宋体"/>
                <w:bCs/>
                <w:color w:val="auto"/>
                <w:sz w:val="21"/>
                <w:szCs w:val="21"/>
                <w:lang w:eastAsia="zh-CN"/>
              </w:rPr>
              <w:t>一、</w:t>
            </w:r>
            <w:r>
              <w:rPr>
                <w:rFonts w:hint="eastAsia" w:hAnsi="宋体"/>
                <w:bCs/>
                <w:color w:val="auto"/>
                <w:sz w:val="21"/>
                <w:szCs w:val="21"/>
              </w:rPr>
              <w:t>持续推进美丽广东、美丽湾区建设</w:t>
            </w:r>
          </w:p>
          <w:p w14:paraId="78331786">
            <w:pPr>
              <w:pStyle w:val="24"/>
              <w:keepNext w:val="0"/>
              <w:keepLines w:val="0"/>
              <w:pageBreakBefore w:val="0"/>
              <w:widowControl w:val="0"/>
              <w:numPr>
                <w:ilvl w:val="-1"/>
                <w:numId w:val="0"/>
              </w:numPr>
              <w:kinsoku/>
              <w:wordWrap/>
              <w:overflowPunct/>
              <w:topLinePunct w:val="0"/>
              <w:autoSpaceDE/>
              <w:autoSpaceDN/>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lang w:val="en-US" w:eastAsia="zh-CN"/>
              </w:rPr>
            </w:pPr>
            <w:r>
              <w:rPr>
                <w:rFonts w:hint="eastAsia" w:hAnsi="宋体"/>
                <w:bCs/>
                <w:color w:val="auto"/>
                <w:sz w:val="21"/>
                <w:szCs w:val="21"/>
              </w:rPr>
              <w:t>2024年，省委、省政府正式印发《关于全面推进美丽广东建设的实施意见》和《美丽广东建设规划纲要（2024-2035年）》。广东率先研究建立美丽县城建设指标体系，统筹用好省级专项资金创新实施“以奖促建”，激励形成示范效应。广州获生态环境部支持打造美丽中国城市样板，并落地全国首批美丽城市建设投融资示范项目。全面落实粤港澳大湾区生态环境保护规划和部省合作框架协议，粤港澳生态环境同保共治持续深化。推动粤港澳环保合作机制下增设“无废湾区”专题小组，成立美丽全运环境质量保障领导小组，加快建设粤港澳生态环境科学中心等基础设施项目。</w:t>
            </w:r>
          </w:p>
        </w:tc>
      </w:tr>
    </w:tbl>
    <w:p w14:paraId="76941945">
      <w:pPr>
        <w:pStyle w:val="24"/>
        <w:keepNext w:val="0"/>
        <w:keepLines w:val="0"/>
        <w:pageBreakBefore w:val="0"/>
        <w:widowControl w:val="0"/>
        <w:kinsoku/>
        <w:wordWrap/>
        <w:overflowPunct/>
        <w:topLinePunct w:val="0"/>
        <w:autoSpaceDE w:val="0"/>
        <w:autoSpaceDN w:val="0"/>
        <w:bidi w:val="0"/>
        <w:adjustRightInd w:val="0"/>
        <w:snapToGrid w:val="0"/>
        <w:spacing w:before="195" w:beforeLines="50" w:after="195" w:afterLines="50" w:line="240" w:lineRule="auto"/>
        <w:ind w:right="0" w:rightChars="0"/>
        <w:jc w:val="left"/>
        <w:textAlignment w:val="auto"/>
        <w:outlineLvl w:val="9"/>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B.3  大事记</w:t>
      </w:r>
    </w:p>
    <w:p w14:paraId="299B87C6">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大事记的内容编制见示例B.9。</w:t>
      </w:r>
    </w:p>
    <w:p w14:paraId="316E5294">
      <w:pPr>
        <w:pStyle w:val="24"/>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jc w:val="left"/>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示例B.9：</w:t>
      </w:r>
    </w:p>
    <w:tbl>
      <w:tblPr>
        <w:tblStyle w:val="1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3B78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8" w:hRule="atLeast"/>
        </w:trPr>
        <w:tc>
          <w:tcPr>
            <w:tcW w:w="9571" w:type="dxa"/>
          </w:tcPr>
          <w:p w14:paraId="7191E2DC">
            <w:pPr>
              <w:pStyle w:val="24"/>
              <w:keepNext w:val="0"/>
              <w:keepLines w:val="0"/>
              <w:pageBreakBefore w:val="0"/>
              <w:widowControl w:val="0"/>
              <w:numPr>
                <w:ilvl w:val="-1"/>
                <w:numId w:val="0"/>
              </w:numPr>
              <w:kinsoku/>
              <w:wordWrap/>
              <w:overflowPunct/>
              <w:topLinePunct w:val="0"/>
              <w:autoSpaceDE w:val="0"/>
              <w:autoSpaceDN w:val="0"/>
              <w:bidi w:val="0"/>
              <w:adjustRightInd w:val="0"/>
              <w:snapToGrid w:val="0"/>
              <w:spacing w:before="0" w:beforeLines="0" w:line="240" w:lineRule="auto"/>
              <w:ind w:right="0" w:rightChars="0" w:firstLine="0" w:firstLineChars="0"/>
              <w:jc w:val="left"/>
              <w:textAlignment w:val="auto"/>
              <w:outlineLvl w:val="9"/>
              <w:rPr>
                <w:rFonts w:hint="default" w:hAnsi="宋体" w:cs="宋体"/>
                <w:bCs/>
                <w:color w:val="auto"/>
                <w:sz w:val="21"/>
                <w:szCs w:val="21"/>
                <w:lang w:val="en-US" w:eastAsia="zh-CN"/>
              </w:rPr>
            </w:pPr>
            <w:r>
              <w:rPr>
                <w:rFonts w:hint="eastAsia" w:hAnsi="宋体" w:cs="宋体"/>
                <w:bCs/>
                <w:color w:val="auto"/>
                <w:sz w:val="21"/>
                <w:szCs w:val="21"/>
                <w:lang w:val="en-US" w:eastAsia="zh-CN"/>
              </w:rPr>
              <w:t>第三章  大事记</w:t>
            </w:r>
          </w:p>
          <w:p w14:paraId="36BE718A">
            <w:pPr>
              <w:pStyle w:val="24"/>
              <w:keepNext w:val="0"/>
              <w:keepLines w:val="0"/>
              <w:pageBreakBefore w:val="0"/>
              <w:widowControl w:val="0"/>
              <w:numPr>
                <w:ilvl w:val="-1"/>
                <w:numId w:val="0"/>
              </w:numPr>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default" w:hAnsi="宋体" w:cs="宋体"/>
                <w:bCs/>
                <w:color w:val="auto"/>
                <w:sz w:val="21"/>
                <w:szCs w:val="21"/>
                <w:lang w:val="en-US" w:eastAsia="zh-CN"/>
              </w:rPr>
            </w:pPr>
            <w:r>
              <w:rPr>
                <w:rFonts w:hint="eastAsia" w:hAnsi="宋体" w:cs="宋体"/>
                <w:bCs/>
                <w:color w:val="auto"/>
                <w:sz w:val="21"/>
                <w:szCs w:val="21"/>
                <w:lang w:val="en-US" w:eastAsia="zh-CN"/>
              </w:rPr>
              <w:t>一月</w:t>
            </w:r>
          </w:p>
          <w:p w14:paraId="074AF565">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eastAsia="zh-CN"/>
              </w:rPr>
            </w:pPr>
            <w:r>
              <w:rPr>
                <w:rFonts w:hint="eastAsia" w:hAnsi="宋体" w:cs="宋体"/>
                <w:bCs/>
                <w:color w:val="auto"/>
                <w:sz w:val="21"/>
                <w:szCs w:val="21"/>
                <w:lang w:val="en-US" w:eastAsia="zh-CN"/>
              </w:rPr>
              <w:t xml:space="preserve">1日       </w:t>
            </w:r>
            <w:r>
              <w:rPr>
                <w:rFonts w:hint="eastAsia" w:ascii="宋体" w:hAnsi="宋体" w:eastAsia="宋体" w:cs="宋体"/>
                <w:bCs/>
                <w:color w:val="auto"/>
                <w:sz w:val="21"/>
                <w:szCs w:val="21"/>
                <w:lang w:eastAsia="zh-CN"/>
              </w:rPr>
              <w:t>《广东省生态环境教育条例》施行。</w:t>
            </w:r>
          </w:p>
          <w:p w14:paraId="0AA5D667">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ascii="宋体" w:hAnsi="宋体" w:eastAsia="宋体" w:cs="宋体"/>
                <w:bCs/>
                <w:color w:val="auto"/>
                <w:sz w:val="21"/>
                <w:szCs w:val="21"/>
                <w:lang w:eastAsia="zh-CN"/>
              </w:rPr>
            </w:pPr>
            <w:r>
              <w:rPr>
                <w:rFonts w:hint="eastAsia" w:hAnsi="宋体" w:cs="宋体"/>
                <w:bCs/>
                <w:color w:val="auto"/>
                <w:sz w:val="21"/>
                <w:szCs w:val="21"/>
                <w:lang w:val="en-US" w:eastAsia="zh-CN"/>
              </w:rPr>
              <w:t xml:space="preserve">2日至3日  </w:t>
            </w:r>
            <w:r>
              <w:rPr>
                <w:rFonts w:hint="eastAsia" w:ascii="宋体" w:hAnsi="宋体" w:eastAsia="宋体" w:cs="宋体"/>
                <w:bCs/>
                <w:color w:val="auto"/>
                <w:sz w:val="21"/>
                <w:szCs w:val="21"/>
                <w:lang w:eastAsia="zh-CN"/>
              </w:rPr>
              <w:t>生态环境部副部长</w:t>
            </w:r>
            <w:r>
              <w:rPr>
                <w:rFonts w:hint="eastAsia" w:hAnsi="宋体" w:cs="宋体"/>
                <w:bCs/>
                <w:color w:val="auto"/>
                <w:sz w:val="21"/>
                <w:szCs w:val="21"/>
                <w:lang w:val="en-US" w:eastAsia="zh-CN"/>
              </w:rPr>
              <w:t>***</w:t>
            </w:r>
            <w:r>
              <w:rPr>
                <w:rFonts w:hint="eastAsia" w:ascii="宋体" w:hAnsi="宋体" w:eastAsia="宋体" w:cs="宋体"/>
                <w:bCs/>
                <w:color w:val="auto"/>
                <w:sz w:val="21"/>
                <w:szCs w:val="21"/>
                <w:lang w:eastAsia="zh-CN"/>
              </w:rPr>
              <w:t>到广东调研核安全工作，省生态环境厅厅长</w:t>
            </w:r>
            <w:r>
              <w:rPr>
                <w:rFonts w:hint="eastAsia" w:hAnsi="宋体" w:cs="宋体"/>
                <w:bCs/>
                <w:color w:val="auto"/>
                <w:sz w:val="21"/>
                <w:szCs w:val="21"/>
                <w:lang w:val="en-US" w:eastAsia="zh-CN"/>
              </w:rPr>
              <w:t>***</w:t>
            </w:r>
            <w:r>
              <w:rPr>
                <w:rFonts w:hint="eastAsia" w:ascii="宋体" w:hAnsi="宋体" w:eastAsia="宋体" w:cs="宋体"/>
                <w:bCs/>
                <w:color w:val="auto"/>
                <w:sz w:val="21"/>
                <w:szCs w:val="21"/>
                <w:lang w:eastAsia="zh-CN"/>
              </w:rPr>
              <w:t>陪同。</w:t>
            </w:r>
          </w:p>
          <w:p w14:paraId="602EAA7B">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left="1470" w:leftChars="150" w:right="0" w:rightChars="0" w:hanging="1050" w:hangingChars="500"/>
              <w:jc w:val="left"/>
              <w:textAlignment w:val="auto"/>
              <w:outlineLvl w:val="9"/>
              <w:rPr>
                <w:rFonts w:hint="eastAsia" w:ascii="宋体" w:hAnsi="宋体" w:eastAsia="宋体" w:cs="宋体"/>
                <w:bCs/>
                <w:color w:val="auto"/>
                <w:sz w:val="21"/>
                <w:szCs w:val="21"/>
                <w:lang w:eastAsia="zh-CN"/>
              </w:rPr>
            </w:pPr>
            <w:r>
              <w:rPr>
                <w:rFonts w:hint="eastAsia" w:hAnsi="宋体" w:cs="宋体"/>
                <w:bCs/>
                <w:color w:val="auto"/>
                <w:sz w:val="21"/>
                <w:szCs w:val="21"/>
                <w:lang w:val="en-US" w:eastAsia="zh-CN"/>
              </w:rPr>
              <w:t xml:space="preserve">3日至5日  </w:t>
            </w:r>
            <w:r>
              <w:rPr>
                <w:rFonts w:hint="eastAsia" w:ascii="宋体" w:hAnsi="宋体" w:eastAsia="宋体" w:cs="宋体"/>
                <w:bCs/>
                <w:color w:val="auto"/>
                <w:sz w:val="21"/>
                <w:szCs w:val="21"/>
                <w:lang w:eastAsia="zh-CN"/>
              </w:rPr>
              <w:t>省长</w:t>
            </w:r>
            <w:r>
              <w:rPr>
                <w:rFonts w:hint="eastAsia" w:hAnsi="宋体" w:cs="宋体"/>
                <w:bCs/>
                <w:color w:val="auto"/>
                <w:sz w:val="21"/>
                <w:szCs w:val="21"/>
                <w:lang w:val="en-US" w:eastAsia="zh-CN"/>
              </w:rPr>
              <w:t>***</w:t>
            </w:r>
            <w:r>
              <w:rPr>
                <w:rFonts w:hint="eastAsia" w:ascii="宋体" w:hAnsi="宋体" w:eastAsia="宋体" w:cs="宋体"/>
                <w:bCs/>
                <w:color w:val="auto"/>
                <w:sz w:val="21"/>
                <w:szCs w:val="21"/>
                <w:lang w:eastAsia="zh-CN"/>
              </w:rPr>
              <w:t>到潮州市、揭阳市、汕头市调研“百千万工程”、产业有序转移工作，省生态环境厅厅长</w:t>
            </w:r>
            <w:r>
              <w:rPr>
                <w:rFonts w:hint="eastAsia" w:hAnsi="宋体" w:cs="宋体"/>
                <w:bCs/>
                <w:color w:val="auto"/>
                <w:sz w:val="21"/>
                <w:szCs w:val="21"/>
                <w:lang w:val="en-US" w:eastAsia="zh-CN"/>
              </w:rPr>
              <w:t>***</w:t>
            </w:r>
            <w:r>
              <w:rPr>
                <w:rFonts w:hint="eastAsia" w:ascii="宋体" w:hAnsi="宋体" w:eastAsia="宋体" w:cs="宋体"/>
                <w:bCs/>
                <w:color w:val="auto"/>
                <w:sz w:val="21"/>
                <w:szCs w:val="21"/>
                <w:lang w:eastAsia="zh-CN"/>
              </w:rPr>
              <w:t>陪同。</w:t>
            </w:r>
          </w:p>
          <w:p w14:paraId="3743B4CB">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left="1470" w:leftChars="150" w:right="0" w:rightChars="0" w:hanging="1050" w:hangingChars="500"/>
              <w:jc w:val="left"/>
              <w:textAlignment w:val="auto"/>
              <w:outlineLvl w:val="9"/>
              <w:rPr>
                <w:rFonts w:hint="eastAsia" w:hAnsi="宋体" w:cs="宋体"/>
                <w:bCs/>
                <w:color w:val="auto"/>
                <w:sz w:val="21"/>
                <w:szCs w:val="21"/>
                <w:lang w:eastAsia="zh-CN"/>
              </w:rPr>
            </w:pPr>
            <w:r>
              <w:rPr>
                <w:rFonts w:hint="eastAsia" w:hAnsi="宋体" w:cs="宋体"/>
                <w:bCs/>
                <w:color w:val="auto"/>
                <w:sz w:val="21"/>
                <w:szCs w:val="21"/>
                <w:lang w:val="en-US" w:eastAsia="zh-CN"/>
              </w:rPr>
              <w:t xml:space="preserve">7日       </w:t>
            </w:r>
            <w:r>
              <w:rPr>
                <w:rFonts w:hint="eastAsia" w:ascii="宋体" w:hAnsi="宋体" w:eastAsia="宋体" w:cs="宋体"/>
                <w:bCs/>
                <w:color w:val="auto"/>
                <w:sz w:val="21"/>
                <w:szCs w:val="21"/>
                <w:lang w:eastAsia="zh-CN"/>
              </w:rPr>
              <w:t>省生态环境厅召开2023年度全省生态环境系统党组织书记抓基层党建工作述职暨“苦干实干、争先创优”经验交流会，省生态环境厅厅长</w:t>
            </w:r>
            <w:r>
              <w:rPr>
                <w:rFonts w:hint="eastAsia" w:hAnsi="宋体" w:cs="宋体"/>
                <w:bCs/>
                <w:color w:val="auto"/>
                <w:sz w:val="21"/>
                <w:szCs w:val="21"/>
                <w:lang w:val="en-US" w:eastAsia="zh-CN"/>
              </w:rPr>
              <w:t>***</w:t>
            </w:r>
            <w:r>
              <w:rPr>
                <w:rFonts w:hint="eastAsia" w:ascii="宋体" w:hAnsi="宋体" w:eastAsia="宋体" w:cs="宋体"/>
                <w:bCs/>
                <w:color w:val="auto"/>
                <w:sz w:val="21"/>
                <w:szCs w:val="21"/>
                <w:lang w:eastAsia="zh-CN"/>
              </w:rPr>
              <w:t>出席会议并讲话</w:t>
            </w:r>
            <w:r>
              <w:rPr>
                <w:rFonts w:hint="eastAsia" w:hAnsi="宋体" w:cs="宋体"/>
                <w:bCs/>
                <w:color w:val="auto"/>
                <w:sz w:val="21"/>
                <w:szCs w:val="21"/>
                <w:lang w:eastAsia="zh-CN"/>
              </w:rPr>
              <w:t>。</w:t>
            </w:r>
          </w:p>
          <w:p w14:paraId="18E9C340">
            <w:pPr>
              <w:pStyle w:val="24"/>
              <w:keepNext w:val="0"/>
              <w:keepLines w:val="0"/>
              <w:pageBreakBefore w:val="0"/>
              <w:widowControl w:val="0"/>
              <w:kinsoku/>
              <w:wordWrap/>
              <w:overflowPunct/>
              <w:topLinePunct w:val="0"/>
              <w:autoSpaceDE w:val="0"/>
              <w:autoSpaceDN w:val="0"/>
              <w:bidi w:val="0"/>
              <w:adjustRightInd w:val="0"/>
              <w:snapToGrid w:val="0"/>
              <w:spacing w:before="0" w:beforeLines="0" w:line="240" w:lineRule="auto"/>
              <w:ind w:right="0" w:rightChars="0" w:firstLine="420" w:firstLineChars="200"/>
              <w:jc w:val="left"/>
              <w:textAlignment w:val="auto"/>
              <w:outlineLvl w:val="9"/>
              <w:rPr>
                <w:rFonts w:hint="eastAsia" w:hAnsi="宋体"/>
                <w:bCs/>
                <w:color w:val="auto"/>
                <w:sz w:val="21"/>
                <w:szCs w:val="21"/>
              </w:rPr>
            </w:pPr>
            <w:r>
              <w:rPr>
                <w:rFonts w:hint="eastAsia" w:hAnsi="宋体"/>
                <w:bCs/>
                <w:color w:val="auto"/>
                <w:sz w:val="21"/>
                <w:szCs w:val="21"/>
              </w:rPr>
              <w:t>11日</w:t>
            </w:r>
            <w:r>
              <w:rPr>
                <w:rFonts w:hint="eastAsia" w:hAnsi="宋体"/>
                <w:bCs/>
                <w:color w:val="auto"/>
                <w:sz w:val="21"/>
                <w:szCs w:val="21"/>
                <w:lang w:val="en-US" w:eastAsia="zh-CN"/>
              </w:rPr>
              <w:t xml:space="preserve">      </w:t>
            </w:r>
            <w:r>
              <w:rPr>
                <w:rFonts w:hint="eastAsia" w:hAnsi="宋体"/>
                <w:bCs/>
                <w:color w:val="auto"/>
                <w:sz w:val="21"/>
                <w:szCs w:val="21"/>
              </w:rPr>
              <w:t>十四届省政府26次常务会议召开，听取省生态环境厅关于韶关市、东莞市、茂名市部分饮用水源保护区划分和调整方案的汇报。</w:t>
            </w:r>
          </w:p>
          <w:p w14:paraId="1F221272">
            <w:pPr>
              <w:pStyle w:val="24"/>
              <w:keepNext w:val="0"/>
              <w:keepLines w:val="0"/>
              <w:pageBreakBefore w:val="0"/>
              <w:widowControl w:val="0"/>
              <w:kinsoku/>
              <w:wordWrap/>
              <w:overflowPunct/>
              <w:topLinePunct w:val="0"/>
              <w:autoSpaceDE w:val="0"/>
              <w:autoSpaceDN w:val="0"/>
              <w:bidi w:val="0"/>
              <w:adjustRightInd w:val="0"/>
              <w:snapToGrid w:val="0"/>
              <w:spacing w:before="195" w:beforeLines="50" w:line="240" w:lineRule="auto"/>
              <w:ind w:right="0" w:rightChars="0" w:firstLine="0" w:firstLineChars="0"/>
              <w:jc w:val="left"/>
              <w:textAlignment w:val="auto"/>
              <w:outlineLvl w:val="9"/>
              <w:rPr>
                <w:rFonts w:hint="eastAsia" w:hAnsi="宋体"/>
                <w:bCs/>
                <w:color w:val="auto"/>
                <w:sz w:val="21"/>
                <w:szCs w:val="21"/>
                <w:lang w:val="en-US" w:eastAsia="zh-CN"/>
              </w:rPr>
            </w:pPr>
          </w:p>
        </w:tc>
      </w:tr>
    </w:tbl>
    <w:p w14:paraId="2BF58681">
      <w:pPr>
        <w:pStyle w:val="24"/>
        <w:keepNext w:val="0"/>
        <w:keepLines w:val="0"/>
        <w:pageBreakBefore w:val="0"/>
        <w:widowControl w:val="0"/>
        <w:kinsoku/>
        <w:wordWrap/>
        <w:overflowPunct/>
        <w:topLinePunct w:val="0"/>
        <w:autoSpaceDE w:val="0"/>
        <w:autoSpaceDN w:val="0"/>
        <w:bidi w:val="0"/>
        <w:adjustRightInd w:val="0"/>
        <w:snapToGrid w:val="0"/>
        <w:spacing w:before="195" w:beforeLines="50" w:line="240" w:lineRule="auto"/>
        <w:ind w:right="0" w:rightChars="0" w:firstLine="0" w:firstLineChars="0"/>
        <w:jc w:val="left"/>
        <w:textAlignment w:val="auto"/>
        <w:outlineLvl w:val="9"/>
        <w:rPr>
          <w:rFonts w:hint="eastAsia" w:ascii="宋体" w:hAnsi="宋体" w:eastAsia="宋体" w:cs="宋体"/>
          <w:bCs/>
          <w:color w:val="auto"/>
          <w:sz w:val="21"/>
          <w:szCs w:val="21"/>
          <w:lang w:eastAsia="zh-CN"/>
        </w:rPr>
      </w:pPr>
    </w:p>
    <w:p w14:paraId="5964B235">
      <w:pPr>
        <w:keepNext w:val="0"/>
        <w:keepLines w:val="0"/>
        <w:pageBreakBefore w:val="0"/>
        <w:widowControl w:val="0"/>
        <w:kinsoku/>
        <w:wordWrap/>
        <w:overflowPunct/>
        <w:topLinePunct w:val="0"/>
        <w:autoSpaceDE w:val="0"/>
        <w:autoSpaceDN w:val="0"/>
        <w:bidi w:val="0"/>
        <w:adjustRightInd w:val="0"/>
        <w:snapToGrid w:val="0"/>
        <w:spacing w:before="195" w:beforeLines="50" w:line="240" w:lineRule="auto"/>
        <w:ind w:right="0" w:rightChars="0" w:firstLineChars="200"/>
        <w:jc w:val="left"/>
        <w:textAlignment w:val="auto"/>
        <w:outlineLvl w:val="9"/>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br w:type="page"/>
      </w:r>
    </w:p>
    <w:p w14:paraId="47D13200">
      <w:pPr>
        <w:pStyle w:val="2"/>
        <w:keepNext/>
        <w:keepLines/>
        <w:pageBreakBefore w:val="0"/>
        <w:widowControl w:val="0"/>
        <w:kinsoku/>
        <w:wordWrap/>
        <w:overflowPunct/>
        <w:topLinePunct w:val="0"/>
        <w:autoSpaceDE/>
        <w:autoSpaceDN/>
        <w:bidi w:val="0"/>
        <w:adjustRightInd w:val="0"/>
        <w:snapToGrid w:val="0"/>
        <w:spacing w:before="0" w:after="0"/>
        <w:textAlignment w:val="auto"/>
        <w:rPr>
          <w:rFonts w:hint="eastAsia" w:cs="黑体"/>
          <w:b w:val="0"/>
          <w:bCs w:val="0"/>
          <w:color w:val="auto"/>
          <w:sz w:val="21"/>
          <w:szCs w:val="21"/>
          <w:lang w:val="en-US" w:eastAsia="zh-CN"/>
        </w:rPr>
      </w:pPr>
      <w:bookmarkStart w:id="137" w:name="_Toc11074"/>
      <w:bookmarkStart w:id="138" w:name="_Toc14421"/>
      <w:r>
        <w:rPr>
          <w:rFonts w:hint="eastAsia" w:cs="黑体"/>
          <w:b w:val="0"/>
          <w:bCs w:val="0"/>
          <w:color w:val="auto"/>
          <w:sz w:val="21"/>
          <w:szCs w:val="21"/>
          <w:lang w:val="en-US" w:eastAsia="zh-CN"/>
        </w:rPr>
        <w:t>参 考 文 献</w:t>
      </w:r>
      <w:bookmarkEnd w:id="137"/>
      <w:bookmarkEnd w:id="138"/>
    </w:p>
    <w:p w14:paraId="452FD842">
      <w:pPr>
        <w:pStyle w:val="39"/>
        <w:pageBreakBefore w:val="0"/>
        <w:kinsoku/>
        <w:wordWrap/>
        <w:overflowPunct/>
        <w:topLinePunct w:val="0"/>
        <w:bidi w:val="0"/>
        <w:adjustRightInd w:val="0"/>
        <w:snapToGrid w:val="0"/>
        <w:ind w:firstLine="420"/>
        <w:textAlignment w:val="auto"/>
        <w:rPr>
          <w:rFonts w:hint="eastAsia" w:hAnsi="宋体" w:cs="宋体"/>
          <w:color w:val="auto"/>
          <w:szCs w:val="24"/>
          <w:shd w:val="clear" w:color="auto" w:fill="FFFFFF"/>
          <w:lang w:val="en-US" w:eastAsia="zh-CN" w:bidi="ar"/>
        </w:rPr>
      </w:pPr>
    </w:p>
    <w:p w14:paraId="7376F915">
      <w:pPr>
        <w:pStyle w:val="39"/>
        <w:pageBreakBefore w:val="0"/>
        <w:kinsoku/>
        <w:wordWrap/>
        <w:overflowPunct/>
        <w:topLinePunct w:val="0"/>
        <w:bidi w:val="0"/>
        <w:adjustRightInd w:val="0"/>
        <w:snapToGrid w:val="0"/>
        <w:ind w:firstLine="420"/>
        <w:textAlignment w:val="auto"/>
        <w:rPr>
          <w:rFonts w:hint="eastAsia" w:hAnsi="宋体" w:cs="宋体"/>
          <w:color w:val="auto"/>
          <w:szCs w:val="24"/>
          <w:shd w:val="clear" w:color="auto" w:fill="FFFFFF"/>
          <w:lang w:val="en-US" w:eastAsia="zh-CN" w:bidi="ar"/>
        </w:rPr>
      </w:pPr>
      <w:r>
        <w:rPr>
          <w:rFonts w:hint="eastAsia" w:hAnsi="宋体" w:cs="宋体"/>
          <w:color w:val="auto"/>
          <w:szCs w:val="24"/>
          <w:shd w:val="clear" w:color="auto" w:fill="FFFFFF"/>
          <w:lang w:val="en-US" w:eastAsia="zh-CN" w:bidi="ar"/>
        </w:rPr>
        <w:t>[1] GB/T 15835  出版物上数字用法</w:t>
      </w:r>
    </w:p>
    <w:p w14:paraId="0288BA52">
      <w:pPr>
        <w:pStyle w:val="39"/>
        <w:pageBreakBefore w:val="0"/>
        <w:kinsoku/>
        <w:wordWrap/>
        <w:overflowPunct/>
        <w:topLinePunct w:val="0"/>
        <w:bidi w:val="0"/>
        <w:adjustRightInd w:val="0"/>
        <w:snapToGrid w:val="0"/>
        <w:ind w:firstLine="420"/>
        <w:textAlignment w:val="auto"/>
        <w:rPr>
          <w:rFonts w:hint="eastAsia" w:hAnsi="宋体" w:cs="宋体"/>
          <w:color w:val="auto"/>
          <w:szCs w:val="24"/>
          <w:lang w:bidi="ar"/>
        </w:rPr>
      </w:pPr>
      <w:r>
        <w:rPr>
          <w:rFonts w:hint="eastAsia" w:hAnsi="宋体" w:cs="宋体"/>
          <w:color w:val="auto"/>
          <w:szCs w:val="24"/>
          <w:shd w:val="clear" w:color="auto" w:fill="FFFFFF"/>
          <w:lang w:val="en-US" w:eastAsia="zh-CN" w:bidi="ar"/>
        </w:rPr>
        <w:t>[2] GB/T 17295  国际贸易计量单位代码</w:t>
      </w:r>
    </w:p>
    <w:p w14:paraId="368E2A01">
      <w:pPr>
        <w:pStyle w:val="39"/>
        <w:pageBreakBefore w:val="0"/>
        <w:kinsoku/>
        <w:wordWrap/>
        <w:overflowPunct/>
        <w:topLinePunct w:val="0"/>
        <w:bidi w:val="0"/>
        <w:adjustRightInd w:val="0"/>
        <w:snapToGrid w:val="0"/>
        <w:ind w:firstLine="420"/>
        <w:textAlignment w:val="auto"/>
        <w:rPr>
          <w:rFonts w:hint="eastAsia" w:hAnsi="宋体" w:cs="宋体"/>
          <w:color w:val="auto"/>
          <w:szCs w:val="24"/>
          <w:shd w:val="clear" w:color="auto" w:fill="FFFFFF"/>
          <w:lang w:val="en-US" w:eastAsia="zh-CN" w:bidi="ar"/>
        </w:rPr>
      </w:pPr>
      <w:r>
        <w:rPr>
          <w:rFonts w:hint="eastAsia" w:hAnsi="宋体" w:cs="宋体"/>
          <w:color w:val="auto"/>
          <w:szCs w:val="24"/>
          <w:shd w:val="clear" w:color="auto" w:fill="FFFFFF"/>
          <w:lang w:val="en-US" w:eastAsia="zh-CN" w:bidi="ar"/>
        </w:rPr>
        <w:t xml:space="preserve">[3] </w:t>
      </w:r>
      <w:r>
        <w:rPr>
          <w:rFonts w:hint="default" w:hAnsi="宋体" w:cs="宋体"/>
          <w:color w:val="auto"/>
          <w:szCs w:val="24"/>
          <w:shd w:val="clear" w:color="auto" w:fill="FFFFFF"/>
          <w:lang w:val="en-US" w:eastAsia="zh-CN" w:bidi="ar"/>
        </w:rPr>
        <w:t>HJ 192</w:t>
      </w:r>
      <w:r>
        <w:rPr>
          <w:rFonts w:hint="eastAsia" w:hAnsi="宋体" w:cs="宋体"/>
          <w:color w:val="auto"/>
          <w:szCs w:val="24"/>
          <w:shd w:val="clear" w:color="auto" w:fill="FFFFFF"/>
          <w:lang w:val="en-US" w:eastAsia="zh-CN" w:bidi="ar"/>
        </w:rPr>
        <w:t>—20</w:t>
      </w:r>
      <w:r>
        <w:rPr>
          <w:rFonts w:hint="default" w:hAnsi="宋体" w:cs="宋体"/>
          <w:color w:val="auto"/>
          <w:szCs w:val="24"/>
          <w:shd w:val="clear" w:color="auto" w:fill="FFFFFF"/>
          <w:lang w:val="en-US" w:eastAsia="zh-CN" w:bidi="ar"/>
        </w:rPr>
        <w:t>15</w:t>
      </w:r>
      <w:r>
        <w:rPr>
          <w:rFonts w:hint="eastAsia" w:hAnsi="宋体" w:cs="宋体"/>
          <w:color w:val="auto"/>
          <w:szCs w:val="24"/>
          <w:shd w:val="clear" w:color="auto" w:fill="FFFFFF"/>
          <w:lang w:val="en-US" w:eastAsia="zh-CN" w:bidi="ar"/>
        </w:rPr>
        <w:t xml:space="preserve">  生态环境状况评价技术规范</w:t>
      </w:r>
    </w:p>
    <w:p w14:paraId="7478A5CB">
      <w:pPr>
        <w:pStyle w:val="39"/>
        <w:pageBreakBefore w:val="0"/>
        <w:kinsoku/>
        <w:wordWrap/>
        <w:overflowPunct/>
        <w:topLinePunct w:val="0"/>
        <w:bidi w:val="0"/>
        <w:adjustRightInd w:val="0"/>
        <w:snapToGrid w:val="0"/>
        <w:ind w:firstLine="420"/>
        <w:textAlignment w:val="auto"/>
        <w:rPr>
          <w:rFonts w:hint="eastAsia" w:hAnsi="宋体" w:cs="宋体"/>
          <w:color w:val="auto"/>
          <w:szCs w:val="24"/>
          <w:shd w:val="clear" w:color="auto" w:fill="FFFFFF"/>
          <w:lang w:val="en-US" w:eastAsia="zh-CN" w:bidi="ar"/>
        </w:rPr>
      </w:pPr>
      <w:r>
        <w:rPr>
          <w:rFonts w:hint="eastAsia" w:hAnsi="宋体" w:cs="宋体"/>
          <w:color w:val="auto"/>
          <w:szCs w:val="24"/>
          <w:shd w:val="clear" w:color="auto" w:fill="FFFFFF"/>
          <w:lang w:val="en-US" w:eastAsia="zh-CN" w:bidi="ar"/>
        </w:rPr>
        <w:t xml:space="preserve">[4] </w:t>
      </w:r>
      <w:r>
        <w:rPr>
          <w:rFonts w:hint="default" w:hAnsi="宋体" w:cs="宋体"/>
          <w:color w:val="auto"/>
          <w:szCs w:val="24"/>
          <w:shd w:val="clear" w:color="auto" w:fill="FFFFFF"/>
          <w:lang w:val="en-US" w:eastAsia="zh-CN" w:bidi="ar"/>
        </w:rPr>
        <w:t>HJ 565</w:t>
      </w:r>
      <w:r>
        <w:rPr>
          <w:rFonts w:hint="eastAsia" w:hAnsi="宋体" w:cs="宋体"/>
          <w:color w:val="auto"/>
          <w:szCs w:val="24"/>
          <w:shd w:val="clear" w:color="auto" w:fill="FFFFFF"/>
          <w:lang w:val="en-US" w:eastAsia="zh-CN" w:bidi="ar"/>
        </w:rPr>
        <w:t>—</w:t>
      </w:r>
      <w:r>
        <w:rPr>
          <w:rFonts w:hint="default" w:hAnsi="宋体" w:cs="宋体"/>
          <w:color w:val="auto"/>
          <w:szCs w:val="24"/>
          <w:shd w:val="clear" w:color="auto" w:fill="FFFFFF"/>
          <w:lang w:val="en-US" w:eastAsia="zh-CN" w:bidi="ar"/>
        </w:rPr>
        <w:t>2010</w:t>
      </w:r>
      <w:r>
        <w:rPr>
          <w:rFonts w:hint="eastAsia" w:hAnsi="宋体" w:cs="宋体"/>
          <w:color w:val="auto"/>
          <w:szCs w:val="24"/>
          <w:shd w:val="clear" w:color="auto" w:fill="FFFFFF"/>
          <w:lang w:val="en-US" w:eastAsia="zh-CN" w:bidi="ar"/>
        </w:rPr>
        <w:t xml:space="preserve">  环境保护标准编制出版技术指南</w:t>
      </w:r>
    </w:p>
    <w:p w14:paraId="07D642EA">
      <w:pPr>
        <w:pStyle w:val="39"/>
        <w:pageBreakBefore w:val="0"/>
        <w:kinsoku/>
        <w:wordWrap/>
        <w:overflowPunct/>
        <w:topLinePunct w:val="0"/>
        <w:bidi w:val="0"/>
        <w:adjustRightInd w:val="0"/>
        <w:snapToGrid w:val="0"/>
        <w:ind w:firstLine="420"/>
        <w:textAlignment w:val="auto"/>
        <w:rPr>
          <w:rFonts w:hint="eastAsia" w:hAnsi="宋体" w:cs="宋体"/>
          <w:color w:val="auto"/>
          <w:szCs w:val="24"/>
          <w:shd w:val="clear" w:color="auto" w:fill="FFFFFF"/>
          <w:lang w:val="en-US" w:eastAsia="zh-CN" w:bidi="ar"/>
        </w:rPr>
      </w:pPr>
      <w:r>
        <w:rPr>
          <w:rFonts w:hint="eastAsia" w:hAnsi="宋体" w:cs="宋体"/>
          <w:color w:val="auto"/>
          <w:szCs w:val="24"/>
          <w:shd w:val="clear" w:color="auto" w:fill="FFFFFF"/>
          <w:lang w:val="en-US" w:eastAsia="zh-CN" w:bidi="ar"/>
        </w:rPr>
        <w:t>[5] QX/T 573—2020  气候公报编写规范</w:t>
      </w:r>
    </w:p>
    <w:sectPr>
      <w:pgSz w:w="11906" w:h="16838"/>
      <w:pgMar w:top="2268" w:right="1134" w:bottom="1134" w:left="1134" w:header="1417" w:footer="1134" w:gutter="283"/>
      <w:pgBorders>
        <w:top w:val="none" w:sz="0" w:space="0"/>
        <w:left w:val="none" w:sz="0" w:space="0"/>
        <w:bottom w:val="none" w:sz="0" w:space="0"/>
        <w:right w:val="none" w:sz="0" w:space="0"/>
      </w:pgBorders>
      <w:pgNumType w:fmt="decimal"/>
      <w:cols w:space="0" w:num="1"/>
      <w:docGrid w:type="lines" w:linePitch="38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837E6">
    <w:pPr>
      <w:pStyle w:val="11"/>
      <w:ind w:firstLine="560"/>
      <w:jc w:val="right"/>
      <w:rPr>
        <w:rFonts w:ascii="宋体" w:hAnsi="宋体"/>
      </w:rP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cs="Calibri"/>
                            </w:rPr>
                            <w:id w:val="-1"/>
                          </w:sdtPr>
                          <w:sdtEndPr>
                            <w:rPr>
                              <w:rFonts w:hint="eastAsia" w:cs="宋体"/>
                            </w:rPr>
                          </w:sdtEndPr>
                          <w:sdtContent>
                            <w:p w14:paraId="0A13CB9A">
                              <w:pPr>
                                <w:pStyle w:val="11"/>
                                <w:ind w:firstLine="560"/>
                                <w:jc w:val="right"/>
                                <w:rPr>
                                  <w:rFonts w:hint="eastAsia" w:ascii="宋体" w:hAnsi="宋体" w:cs="宋体"/>
                                </w:rPr>
                              </w:pPr>
                              <w:r>
                                <w:rPr>
                                  <w:rFonts w:hint="eastAsia" w:ascii="宋体" w:hAnsi="宋体" w:cs="宋体"/>
                                </w:rPr>
                                <w:fldChar w:fldCharType="begin"/>
                              </w:r>
                              <w:r>
                                <w:rPr>
                                  <w:rFonts w:hint="eastAsia" w:ascii="宋体" w:hAnsi="宋体" w:cs="宋体"/>
                                </w:rPr>
                                <w:instrText xml:space="preserve">PAGE   \* MERGEFORMAT</w:instrText>
                              </w:r>
                              <w:r>
                                <w:rPr>
                                  <w:rFonts w:hint="eastAsia" w:ascii="宋体" w:hAnsi="宋体" w:cs="宋体"/>
                                </w:rPr>
                                <w:fldChar w:fldCharType="separate"/>
                              </w:r>
                              <w:r>
                                <w:rPr>
                                  <w:rFonts w:hint="eastAsia" w:ascii="宋体" w:hAnsi="宋体" w:cs="宋体"/>
                                  <w:lang w:val="zh-CN"/>
                                </w:rPr>
                                <w:t>I</w:t>
                              </w:r>
                              <w:r>
                                <w:rPr>
                                  <w:rFonts w:hint="eastAsia" w:ascii="宋体" w:hAnsi="宋体" w:cs="宋体"/>
                                </w:rPr>
                                <w:fldChar w:fldCharType="end"/>
                              </w:r>
                            </w:p>
                          </w:sdtContent>
                        </w:sdt>
                        <w:p w14:paraId="127BE18B">
                          <w:pPr>
                            <w:pStyle w:val="2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sdt>
                    <w:sdtPr>
                      <w:rPr>
                        <w:rFonts w:cs="Calibri"/>
                      </w:rPr>
                      <w:id w:val="-1"/>
                    </w:sdtPr>
                    <w:sdtEndPr>
                      <w:rPr>
                        <w:rFonts w:hint="eastAsia" w:cs="宋体"/>
                      </w:rPr>
                    </w:sdtEndPr>
                    <w:sdtContent>
                      <w:p w14:paraId="0A13CB9A">
                        <w:pPr>
                          <w:pStyle w:val="11"/>
                          <w:ind w:firstLine="560"/>
                          <w:jc w:val="right"/>
                          <w:rPr>
                            <w:rFonts w:hint="eastAsia" w:ascii="宋体" w:hAnsi="宋体" w:cs="宋体"/>
                          </w:rPr>
                        </w:pPr>
                        <w:r>
                          <w:rPr>
                            <w:rFonts w:hint="eastAsia" w:ascii="宋体" w:hAnsi="宋体" w:cs="宋体"/>
                          </w:rPr>
                          <w:fldChar w:fldCharType="begin"/>
                        </w:r>
                        <w:r>
                          <w:rPr>
                            <w:rFonts w:hint="eastAsia" w:ascii="宋体" w:hAnsi="宋体" w:cs="宋体"/>
                          </w:rPr>
                          <w:instrText xml:space="preserve">PAGE   \* MERGEFORMAT</w:instrText>
                        </w:r>
                        <w:r>
                          <w:rPr>
                            <w:rFonts w:hint="eastAsia" w:ascii="宋体" w:hAnsi="宋体" w:cs="宋体"/>
                          </w:rPr>
                          <w:fldChar w:fldCharType="separate"/>
                        </w:r>
                        <w:r>
                          <w:rPr>
                            <w:rFonts w:hint="eastAsia" w:ascii="宋体" w:hAnsi="宋体" w:cs="宋体"/>
                            <w:lang w:val="zh-CN"/>
                          </w:rPr>
                          <w:t>I</w:t>
                        </w:r>
                        <w:r>
                          <w:rPr>
                            <w:rFonts w:hint="eastAsia" w:ascii="宋体" w:hAnsi="宋体" w:cs="宋体"/>
                          </w:rPr>
                          <w:fldChar w:fldCharType="end"/>
                        </w:r>
                      </w:p>
                    </w:sdtContent>
                  </w:sdt>
                  <w:p w14:paraId="127BE18B">
                    <w:pPr>
                      <w:pStyle w:val="2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0E4A0">
    <w:pPr>
      <w:pStyle w:val="11"/>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66575854"/>
                          </w:sdtPr>
                          <w:sdtContent>
                            <w:p w14:paraId="74026713">
                              <w:pPr>
                                <w:pStyle w:val="11"/>
                              </w:pPr>
                              <w:r>
                                <w:fldChar w:fldCharType="begin"/>
                              </w:r>
                              <w:r>
                                <w:instrText xml:space="preserve">PAGE   \* MERGEFORMAT</w:instrText>
                              </w:r>
                              <w:r>
                                <w:fldChar w:fldCharType="separate"/>
                              </w:r>
                              <w:r>
                                <w:rPr>
                                  <w:lang w:val="zh-CN"/>
                                </w:rPr>
                                <w:t>II</w:t>
                              </w:r>
                              <w:r>
                                <w:fldChar w:fldCharType="end"/>
                              </w:r>
                            </w:p>
                          </w:sdtContent>
                        </w:sdt>
                        <w:p w14:paraId="2798C589">
                          <w:pPr>
                            <w:pStyle w:val="2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sdt>
                    <w:sdtPr>
                      <w:id w:val="566575854"/>
                    </w:sdtPr>
                    <w:sdtContent>
                      <w:p w14:paraId="74026713">
                        <w:pPr>
                          <w:pStyle w:val="11"/>
                        </w:pPr>
                        <w:r>
                          <w:fldChar w:fldCharType="begin"/>
                        </w:r>
                        <w:r>
                          <w:instrText xml:space="preserve">PAGE   \* MERGEFORMAT</w:instrText>
                        </w:r>
                        <w:r>
                          <w:fldChar w:fldCharType="separate"/>
                        </w:r>
                        <w:r>
                          <w:rPr>
                            <w:lang w:val="zh-CN"/>
                          </w:rPr>
                          <w:t>II</w:t>
                        </w:r>
                        <w:r>
                          <w:fldChar w:fldCharType="end"/>
                        </w:r>
                      </w:p>
                    </w:sdtContent>
                  </w:sdt>
                  <w:p w14:paraId="2798C589">
                    <w:pPr>
                      <w:pStyle w:val="24"/>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D49A3">
    <w:pPr>
      <w:pStyle w:val="1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6995" cy="139700"/>
              <wp:effectExtent l="0" t="2540" r="1905" b="635"/>
              <wp:wrapNone/>
              <wp:docPr id="11" name="文本框 18"/>
              <wp:cNvGraphicFramePr/>
              <a:graphic xmlns:a="http://schemas.openxmlformats.org/drawingml/2006/main">
                <a:graphicData uri="http://schemas.microsoft.com/office/word/2010/wordprocessingShape">
                  <wps:wsp>
                    <wps:cNvSpPr txBox="1">
                      <a:spLocks noChangeArrowheads="1"/>
                    </wps:cNvSpPr>
                    <wps:spPr bwMode="auto">
                      <a:xfrm>
                        <a:off x="0" y="0"/>
                        <a:ext cx="86995" cy="139700"/>
                      </a:xfrm>
                      <a:prstGeom prst="rect">
                        <a:avLst/>
                      </a:prstGeom>
                      <a:noFill/>
                      <a:ln>
                        <a:noFill/>
                      </a:ln>
                      <a:effectLst/>
                    </wps:spPr>
                    <wps:txbx>
                      <w:txbxContent>
                        <w:p w14:paraId="4960A98F">
                          <w:pPr>
                            <w:pStyle w:val="11"/>
                          </w:pPr>
                          <w:r>
                            <w:fldChar w:fldCharType="begin"/>
                          </w:r>
                          <w:r>
                            <w:instrText xml:space="preserve"> PAGE  \* MERGEFORMAT </w:instrText>
                          </w:r>
                          <w:r>
                            <w:fldChar w:fldCharType="separate"/>
                          </w:r>
                          <w:r>
                            <w:t>3</w:t>
                          </w:r>
                          <w:r>
                            <w:fldChar w:fldCharType="end"/>
                          </w:r>
                        </w:p>
                      </w:txbxContent>
                    </wps:txbx>
                    <wps:bodyPr rot="0" vert="horz" wrap="none" lIns="0" tIns="0" rIns="0" bIns="0" anchor="t" anchorCtr="0" upright="1">
                      <a:spAutoFit/>
                    </wps:bodyPr>
                  </wps:wsp>
                </a:graphicData>
              </a:graphic>
            </wp:anchor>
          </w:drawing>
        </mc:Choice>
        <mc:Fallback>
          <w:pict>
            <v:shape id="文本框 18" o:spid="_x0000_s1026" o:spt="202" type="#_x0000_t202" style="position:absolute;left:0pt;margin-top:0pt;height:11pt;width:6.85pt;mso-position-horizontal:outside;mso-position-horizontal-relative:margin;mso-wrap-style:none;z-index:251659264;mso-width-relative:page;mso-height-relative:page;" filled="f" stroked="f" coordsize="21600,21600" o:gfxdata="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KqmetAAAAADAQAADwAAAAAAAAABACAAAAAiAAAA&#10;ZHJzL2Rvd25yZXYueG1sUEsBAhQAFAAAAAgAh07iQHV/vhkPAgAAEQQAAA4AAAAAAAAAAQAgAAAA&#10;HwEAAGRycy9lMm9Eb2MueG1sUEsFBgAAAAAGAAYAWQEAAKAFAAAAAA==&#10;">
              <v:fill on="f" focussize="0,0"/>
              <v:stroke on="f"/>
              <v:imagedata o:title=""/>
              <o:lock v:ext="edit" aspectratio="f"/>
              <v:textbox inset="0mm,0mm,0mm,0mm" style="mso-fit-shape-to-text:t;">
                <w:txbxContent>
                  <w:p w14:paraId="4960A98F">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1150C">
    <w:pPr>
      <w:pStyle w:val="11"/>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eastAsia" w:ascii="宋体" w:hAnsi="宋体" w:eastAsia="宋体" w:cs="宋体"/>
                            </w:rPr>
                            <w:id w:val="577482945"/>
                          </w:sdtPr>
                          <w:sdtEndPr>
                            <w:rPr>
                              <w:rFonts w:hint="eastAsia" w:ascii="宋体" w:hAnsi="宋体" w:eastAsia="宋体" w:cs="宋体"/>
                            </w:rPr>
                          </w:sdtEndPr>
                          <w:sdtContent>
                            <w:p w14:paraId="7C507210">
                              <w:pPr>
                                <w:pStyle w:val="11"/>
                                <w:rPr>
                                  <w:rFonts w:hint="eastAsia" w:ascii="宋体" w:hAnsi="宋体" w:cs="宋体"/>
                                </w:rPr>
                              </w:pPr>
                              <w:r>
                                <w:rPr>
                                  <w:rFonts w:hint="eastAsia" w:ascii="宋体" w:hAnsi="宋体" w:cs="宋体"/>
                                </w:rPr>
                                <w:fldChar w:fldCharType="begin"/>
                              </w:r>
                              <w:r>
                                <w:rPr>
                                  <w:rFonts w:hint="eastAsia" w:ascii="宋体" w:hAnsi="宋体" w:cs="宋体"/>
                                </w:rPr>
                                <w:instrText xml:space="preserve">PAGE   \* MERGEFORMAT</w:instrText>
                              </w:r>
                              <w:r>
                                <w:rPr>
                                  <w:rFonts w:hint="eastAsia" w:ascii="宋体" w:hAnsi="宋体" w:cs="宋体"/>
                                </w:rPr>
                                <w:fldChar w:fldCharType="separate"/>
                              </w:r>
                              <w:r>
                                <w:rPr>
                                  <w:rFonts w:hint="eastAsia" w:ascii="宋体" w:hAnsi="宋体" w:cs="宋体"/>
                                  <w:lang w:val="zh-CN"/>
                                </w:rPr>
                                <w:t>II</w:t>
                              </w:r>
                              <w:r>
                                <w:rPr>
                                  <w:rFonts w:hint="eastAsia" w:ascii="宋体" w:hAnsi="宋体" w:cs="宋体"/>
                                </w:rPr>
                                <w:fldChar w:fldCharType="end"/>
                              </w:r>
                            </w:p>
                          </w:sdtContent>
                        </w:sdt>
                        <w:p w14:paraId="7835CAA7">
                          <w:pPr>
                            <w:pStyle w:val="24"/>
                            <w:rPr>
                              <w:rFonts w:hint="eastAsia"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sdt>
                    <w:sdtPr>
                      <w:rPr>
                        <w:rFonts w:hint="eastAsia" w:ascii="宋体" w:hAnsi="宋体" w:eastAsia="宋体" w:cs="宋体"/>
                      </w:rPr>
                      <w:id w:val="577482945"/>
                    </w:sdtPr>
                    <w:sdtEndPr>
                      <w:rPr>
                        <w:rFonts w:hint="eastAsia" w:ascii="宋体" w:hAnsi="宋体" w:eastAsia="宋体" w:cs="宋体"/>
                      </w:rPr>
                    </w:sdtEndPr>
                    <w:sdtContent>
                      <w:p w14:paraId="7C507210">
                        <w:pPr>
                          <w:pStyle w:val="11"/>
                          <w:rPr>
                            <w:rFonts w:hint="eastAsia" w:ascii="宋体" w:hAnsi="宋体" w:cs="宋体"/>
                          </w:rPr>
                        </w:pPr>
                        <w:r>
                          <w:rPr>
                            <w:rFonts w:hint="eastAsia" w:ascii="宋体" w:hAnsi="宋体" w:cs="宋体"/>
                          </w:rPr>
                          <w:fldChar w:fldCharType="begin"/>
                        </w:r>
                        <w:r>
                          <w:rPr>
                            <w:rFonts w:hint="eastAsia" w:ascii="宋体" w:hAnsi="宋体" w:cs="宋体"/>
                          </w:rPr>
                          <w:instrText xml:space="preserve">PAGE   \* MERGEFORMAT</w:instrText>
                        </w:r>
                        <w:r>
                          <w:rPr>
                            <w:rFonts w:hint="eastAsia" w:ascii="宋体" w:hAnsi="宋体" w:cs="宋体"/>
                          </w:rPr>
                          <w:fldChar w:fldCharType="separate"/>
                        </w:r>
                        <w:r>
                          <w:rPr>
                            <w:rFonts w:hint="eastAsia" w:ascii="宋体" w:hAnsi="宋体" w:cs="宋体"/>
                            <w:lang w:val="zh-CN"/>
                          </w:rPr>
                          <w:t>II</w:t>
                        </w:r>
                        <w:r>
                          <w:rPr>
                            <w:rFonts w:hint="eastAsia" w:ascii="宋体" w:hAnsi="宋体" w:cs="宋体"/>
                          </w:rPr>
                          <w:fldChar w:fldCharType="end"/>
                        </w:r>
                      </w:p>
                    </w:sdtContent>
                  </w:sdt>
                  <w:p w14:paraId="7835CAA7">
                    <w:pPr>
                      <w:pStyle w:val="24"/>
                      <w:rPr>
                        <w:rFonts w:hint="eastAsia" w:hAnsi="宋体"/>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24FC6">
    <w:pPr>
      <w:pStyle w:val="11"/>
      <w:ind w:left="560"/>
      <w:jc w:val="right"/>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cs="Calibri"/>
                            </w:rPr>
                            <w:id w:val="783108161"/>
                          </w:sdtPr>
                          <w:sdtEndPr>
                            <w:rPr>
                              <w:rFonts w:hint="eastAsia" w:ascii="宋体" w:hAnsi="宋体" w:cs="宋体"/>
                            </w:rPr>
                          </w:sdtEndPr>
                          <w:sdtContent>
                            <w:p w14:paraId="214DA38C">
                              <w:pPr>
                                <w:pStyle w:val="11"/>
                                <w:ind w:left="560"/>
                                <w:jc w:val="right"/>
                                <w:rPr>
                                  <w:rFonts w:hint="eastAsia" w:ascii="宋体" w:hAnsi="宋体" w:cs="宋体"/>
                                </w:rPr>
                              </w:pPr>
                              <w:r>
                                <w:rPr>
                                  <w:rFonts w:hint="eastAsia" w:ascii="宋体" w:hAnsi="宋体" w:cs="宋体"/>
                                </w:rPr>
                                <w:fldChar w:fldCharType="begin"/>
                              </w:r>
                              <w:r>
                                <w:rPr>
                                  <w:rFonts w:hint="eastAsia" w:ascii="宋体" w:hAnsi="宋体" w:cs="宋体"/>
                                </w:rPr>
                                <w:instrText xml:space="preserve">PAGE   \* MERGEFORMAT</w:instrText>
                              </w:r>
                              <w:r>
                                <w:rPr>
                                  <w:rFonts w:hint="eastAsia" w:ascii="宋体" w:hAnsi="宋体" w:cs="宋体"/>
                                </w:rPr>
                                <w:fldChar w:fldCharType="separate"/>
                              </w:r>
                              <w:r>
                                <w:rPr>
                                  <w:rFonts w:hint="eastAsia" w:ascii="宋体" w:hAnsi="宋体" w:cs="宋体"/>
                                </w:rPr>
                                <w:t>III</w:t>
                              </w:r>
                              <w:r>
                                <w:rPr>
                                  <w:rFonts w:hint="eastAsia" w:ascii="宋体" w:hAnsi="宋体" w:cs="宋体"/>
                                </w:rPr>
                                <w:fldChar w:fldCharType="end"/>
                              </w:r>
                            </w:p>
                          </w:sdtContent>
                        </w:sdt>
                        <w:p w14:paraId="3AD9B5A1">
                          <w:pPr>
                            <w:pStyle w:val="2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sdt>
                    <w:sdtPr>
                      <w:rPr>
                        <w:rFonts w:cs="Calibri"/>
                      </w:rPr>
                      <w:id w:val="783108161"/>
                    </w:sdtPr>
                    <w:sdtEndPr>
                      <w:rPr>
                        <w:rFonts w:hint="eastAsia" w:ascii="宋体" w:hAnsi="宋体" w:cs="宋体"/>
                      </w:rPr>
                    </w:sdtEndPr>
                    <w:sdtContent>
                      <w:p w14:paraId="214DA38C">
                        <w:pPr>
                          <w:pStyle w:val="11"/>
                          <w:ind w:left="560"/>
                          <w:jc w:val="right"/>
                          <w:rPr>
                            <w:rFonts w:hint="eastAsia" w:ascii="宋体" w:hAnsi="宋体" w:cs="宋体"/>
                          </w:rPr>
                        </w:pPr>
                        <w:r>
                          <w:rPr>
                            <w:rFonts w:hint="eastAsia" w:ascii="宋体" w:hAnsi="宋体" w:cs="宋体"/>
                          </w:rPr>
                          <w:fldChar w:fldCharType="begin"/>
                        </w:r>
                        <w:r>
                          <w:rPr>
                            <w:rFonts w:hint="eastAsia" w:ascii="宋体" w:hAnsi="宋体" w:cs="宋体"/>
                          </w:rPr>
                          <w:instrText xml:space="preserve">PAGE   \* MERGEFORMAT</w:instrText>
                        </w:r>
                        <w:r>
                          <w:rPr>
                            <w:rFonts w:hint="eastAsia" w:ascii="宋体" w:hAnsi="宋体" w:cs="宋体"/>
                          </w:rPr>
                          <w:fldChar w:fldCharType="separate"/>
                        </w:r>
                        <w:r>
                          <w:rPr>
                            <w:rFonts w:hint="eastAsia" w:ascii="宋体" w:hAnsi="宋体" w:cs="宋体"/>
                          </w:rPr>
                          <w:t>III</w:t>
                        </w:r>
                        <w:r>
                          <w:rPr>
                            <w:rFonts w:hint="eastAsia" w:ascii="宋体" w:hAnsi="宋体" w:cs="宋体"/>
                          </w:rPr>
                          <w:fldChar w:fldCharType="end"/>
                        </w:r>
                      </w:p>
                    </w:sdtContent>
                  </w:sdt>
                  <w:p w14:paraId="3AD9B5A1">
                    <w:pPr>
                      <w:pStyle w:val="24"/>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B545C">
    <w:pPr>
      <w:pStyle w:val="11"/>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52684964"/>
                          </w:sdtPr>
                          <w:sdtContent>
                            <w:p w14:paraId="26EC4464">
                              <w:pPr>
                                <w:pStyle w:val="11"/>
                              </w:pPr>
                              <w:r>
                                <w:fldChar w:fldCharType="begin"/>
                              </w:r>
                              <w:r>
                                <w:instrText xml:space="preserve">PAGE   \* MERGEFORMAT</w:instrText>
                              </w:r>
                              <w:r>
                                <w:fldChar w:fldCharType="separate"/>
                              </w:r>
                              <w:r>
                                <w:rPr>
                                  <w:lang w:val="zh-CN"/>
                                </w:rPr>
                                <w:t>2</w:t>
                              </w:r>
                              <w:r>
                                <w:fldChar w:fldCharType="end"/>
                              </w:r>
                            </w:p>
                          </w:sdtContent>
                        </w:sdt>
                        <w:p w14:paraId="5943E41F">
                          <w:pPr>
                            <w:pStyle w:val="2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sdt>
                    <w:sdtPr>
                      <w:id w:val="1352684964"/>
                    </w:sdtPr>
                    <w:sdtContent>
                      <w:p w14:paraId="26EC4464">
                        <w:pPr>
                          <w:pStyle w:val="11"/>
                        </w:pPr>
                        <w:r>
                          <w:fldChar w:fldCharType="begin"/>
                        </w:r>
                        <w:r>
                          <w:instrText xml:space="preserve">PAGE   \* MERGEFORMAT</w:instrText>
                        </w:r>
                        <w:r>
                          <w:fldChar w:fldCharType="separate"/>
                        </w:r>
                        <w:r>
                          <w:rPr>
                            <w:lang w:val="zh-CN"/>
                          </w:rPr>
                          <w:t>2</w:t>
                        </w:r>
                        <w:r>
                          <w:fldChar w:fldCharType="end"/>
                        </w:r>
                      </w:p>
                    </w:sdtContent>
                  </w:sdt>
                  <w:p w14:paraId="5943E41F">
                    <w:pPr>
                      <w:pStyle w:val="24"/>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F42E4">
    <w:pPr>
      <w:pStyle w:val="11"/>
      <w:ind w:firstLine="560"/>
      <w:jc w:val="right"/>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989DA">
                          <w:pPr>
                            <w:pStyle w:val="11"/>
                            <w:ind w:firstLine="560"/>
                            <w:jc w:val="right"/>
                          </w:pPr>
                          <w:r>
                            <w:rPr>
                              <w:rFonts w:hint="eastAsia" w:ascii="宋体" w:hAnsi="宋体" w:cs="宋体"/>
                            </w:rPr>
                            <w:fldChar w:fldCharType="begin"/>
                          </w:r>
                          <w:r>
                            <w:rPr>
                              <w:rFonts w:hint="eastAsia" w:ascii="宋体" w:hAnsi="宋体" w:cs="宋体"/>
                            </w:rPr>
                            <w:instrText xml:space="preserve">PAGE   \* MERGEFORMAT</w:instrText>
                          </w:r>
                          <w:r>
                            <w:rPr>
                              <w:rFonts w:hint="eastAsia" w:ascii="宋体" w:hAnsi="宋体" w:cs="宋体"/>
                            </w:rPr>
                            <w:fldChar w:fldCharType="separate"/>
                          </w:r>
                          <w:r>
                            <w:rPr>
                              <w:rFonts w:ascii="宋体" w:hAnsi="宋体" w:cs="宋体"/>
                              <w:lang w:val="zh-CN"/>
                            </w:rPr>
                            <w:t>27</w:t>
                          </w:r>
                          <w:r>
                            <w:rPr>
                              <w:rFonts w:hint="eastAsia" w:ascii="宋体" w:hAnsi="宋体" w:cs="宋体"/>
                            </w:rPr>
                            <w:fldChar w:fldCharType="end"/>
                          </w:r>
                        </w:p>
                        <w:p w14:paraId="2C3182E7">
                          <w:pPr>
                            <w:pStyle w:val="2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311989DA">
                    <w:pPr>
                      <w:pStyle w:val="11"/>
                      <w:ind w:firstLine="560"/>
                      <w:jc w:val="right"/>
                    </w:pPr>
                    <w:r>
                      <w:rPr>
                        <w:rFonts w:hint="eastAsia" w:ascii="宋体" w:hAnsi="宋体" w:cs="宋体"/>
                      </w:rPr>
                      <w:fldChar w:fldCharType="begin"/>
                    </w:r>
                    <w:r>
                      <w:rPr>
                        <w:rFonts w:hint="eastAsia" w:ascii="宋体" w:hAnsi="宋体" w:cs="宋体"/>
                      </w:rPr>
                      <w:instrText xml:space="preserve">PAGE   \* MERGEFORMAT</w:instrText>
                    </w:r>
                    <w:r>
                      <w:rPr>
                        <w:rFonts w:hint="eastAsia" w:ascii="宋体" w:hAnsi="宋体" w:cs="宋体"/>
                      </w:rPr>
                      <w:fldChar w:fldCharType="separate"/>
                    </w:r>
                    <w:r>
                      <w:rPr>
                        <w:rFonts w:ascii="宋体" w:hAnsi="宋体" w:cs="宋体"/>
                        <w:lang w:val="zh-CN"/>
                      </w:rPr>
                      <w:t>27</w:t>
                    </w:r>
                    <w:r>
                      <w:rPr>
                        <w:rFonts w:hint="eastAsia" w:ascii="宋体" w:hAnsi="宋体" w:cs="宋体"/>
                      </w:rPr>
                      <w:fldChar w:fldCharType="end"/>
                    </w:r>
                  </w:p>
                  <w:p w14:paraId="2C3182E7">
                    <w:pPr>
                      <w:pStyle w:val="24"/>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A3998">
    <w:pPr>
      <w:ind w:firstLine="5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0D597A">
                          <w:pPr>
                            <w:pStyle w:val="11"/>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26</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4A0D597A">
                    <w:pPr>
                      <w:pStyle w:val="11"/>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26</w:t>
                    </w:r>
                    <w:r>
                      <w:rPr>
                        <w:rFonts w:hint="eastAsia" w:ascii="宋体" w:hAnsi="宋体" w:eastAsia="宋体" w:cs="宋体"/>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BB4EF">
    <w:pPr>
      <w:pStyle w:val="12"/>
      <w:pBdr>
        <w:bottom w:val="none" w:color="auto" w:sz="0" w:space="1"/>
      </w:pBdr>
      <w:jc w:val="both"/>
      <w:rPr>
        <w:rFonts w:hint="eastAsia" w:ascii="黑体" w:hAnsi="黑体" w:eastAsia="黑体" w:cs="黑体"/>
        <w:sz w:val="21"/>
        <w:szCs w:val="21"/>
        <w:u w:val="none"/>
        <w:lang w:val="en-US" w:eastAsia="zh-CN"/>
      </w:rPr>
    </w:pPr>
    <w:r>
      <w:rPr>
        <w:rFonts w:hint="eastAsia" w:ascii="黑体" w:hAnsi="黑体" w:eastAsia="黑体" w:cs="黑体"/>
        <w:sz w:val="21"/>
        <w:szCs w:val="21"/>
        <w:u w:val="none"/>
      </w:rPr>
      <w:t>ICS</w:t>
    </w:r>
    <w:r>
      <w:rPr>
        <w:rFonts w:hint="eastAsia" w:ascii="黑体" w:hAnsi="黑体" w:eastAsia="黑体" w:cs="黑体"/>
        <w:sz w:val="21"/>
        <w:szCs w:val="21"/>
        <w:u w:val="none"/>
        <w:lang w:val="en-US" w:eastAsia="zh-CN"/>
      </w:rPr>
      <w:t xml:space="preserve">  </w:t>
    </w:r>
    <w:r>
      <w:rPr>
        <w:rFonts w:ascii="黑体" w:hAnsi="黑体" w:eastAsia="黑体"/>
        <w:sz w:val="21"/>
        <w:szCs w:val="21"/>
      </w:rPr>
      <w:fldChar w:fldCharType="begin">
        <w:ffData>
          <w:name w:val="ICS"/>
          <w:enabled/>
          <w:calcOnExit w:val="0"/>
          <w:textInput>
            <w:default w:val="XXXXX"/>
          </w:textInput>
        </w:ffData>
      </w:fldChar>
    </w:r>
    <w:bookmarkStart w:id="139"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XXXXX</w:t>
    </w:r>
    <w:r>
      <w:rPr>
        <w:rFonts w:ascii="黑体" w:hAnsi="黑体" w:eastAsia="黑体"/>
        <w:sz w:val="21"/>
        <w:szCs w:val="21"/>
      </w:rPr>
      <w:fldChar w:fldCharType="end"/>
    </w:r>
    <w:bookmarkEnd w:id="139"/>
  </w:p>
  <w:p w14:paraId="3F1BFC25">
    <w:pPr>
      <w:pStyle w:val="12"/>
      <w:pBdr>
        <w:bottom w:val="none" w:color="auto" w:sz="0" w:space="1"/>
      </w:pBdr>
      <w:jc w:val="both"/>
      <w:rPr>
        <w:rFonts w:hint="eastAsia" w:ascii="黑体" w:hAnsi="黑体" w:eastAsia="黑体" w:cs="黑体"/>
        <w:sz w:val="21"/>
        <w:szCs w:val="21"/>
        <w:u w:val="none"/>
        <w:lang w:val="en-US" w:eastAsia="zh-CN"/>
      </w:rPr>
    </w:pPr>
    <w:r>
      <w:rPr>
        <w:rFonts w:hint="eastAsia" w:ascii="黑体" w:hAnsi="黑体" w:eastAsia="黑体" w:cs="黑体"/>
        <w:sz w:val="21"/>
        <w:szCs w:val="21"/>
        <w:u w:val="none"/>
        <w:lang w:val="en-US" w:eastAsia="zh-CN"/>
      </w:rPr>
      <w:t xml:space="preserve">CCS  </w:t>
    </w:r>
    <w:r>
      <w:rPr>
        <w:rFonts w:ascii="黑体" w:hAnsi="黑体" w:eastAsia="黑体"/>
        <w:sz w:val="21"/>
        <w:szCs w:val="21"/>
      </w:rPr>
      <w:fldChar w:fldCharType="begin">
        <w:ffData>
          <w:name w:val="ICS"/>
          <w:enabled/>
          <w:calcOnExit w:val="0"/>
          <w:textInput>
            <w:default w:val="XXXXX"/>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XXXXX</w:t>
    </w:r>
    <w:r>
      <w:rPr>
        <w:rFonts w:ascii="黑体" w:hAnsi="黑体" w:eastAsia="黑体"/>
        <w:sz w:val="21"/>
        <w:szCs w:val="21"/>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6FE15">
    <w:pPr>
      <w:widowControl/>
      <w:tabs>
        <w:tab w:val="center" w:pos="4154"/>
        <w:tab w:val="right" w:pos="8306"/>
      </w:tabs>
      <w:spacing w:after="120"/>
      <w:ind w:firstLine="0" w:firstLineChars="0"/>
      <w:jc w:val="left"/>
      <w:rPr>
        <w:rFonts w:ascii="黑体" w:hAnsi="宋体" w:eastAsia="黑体"/>
        <w:kern w:val="0"/>
        <w:sz w:val="21"/>
        <w:szCs w:val="20"/>
      </w:rPr>
    </w:pPr>
    <w:r>
      <w:rPr>
        <w:rFonts w:hint="eastAsia" w:ascii="黑体" w:hAnsi="宋体" w:eastAsia="黑体"/>
        <w:kern w:val="0"/>
        <w:sz w:val="21"/>
        <w:szCs w:val="20"/>
      </w:rPr>
      <w:t xml:space="preserve">T/GDSES </w:t>
    </w:r>
    <w:r>
      <w:rPr>
        <w:rFonts w:ascii="黑体" w:hAnsi="黑体" w:eastAsia="黑体"/>
        <w:sz w:val="21"/>
        <w:szCs w:val="21"/>
      </w:rPr>
      <w:fldChar w:fldCharType="begin">
        <w:ffData>
          <w:name w:val="ICS"/>
          <w:enabled/>
          <w:calcOnExit w:val="0"/>
          <w:textInput>
            <w:default w:val="XXXXX"/>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XXXXX</w:t>
    </w:r>
    <w:r>
      <w:rPr>
        <w:rFonts w:ascii="黑体" w:hAnsi="黑体" w:eastAsia="黑体"/>
        <w:sz w:val="21"/>
        <w:szCs w:val="21"/>
      </w:rPr>
      <w:fldChar w:fldCharType="end"/>
    </w:r>
  </w:p>
  <w:p w14:paraId="0EF09855">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2B982">
    <w:pPr>
      <w:pStyle w:val="37"/>
      <w:wordWrap w:val="0"/>
      <w:ind w:firstLine="420" w:firstLineChars="200"/>
    </w:pPr>
    <w:r>
      <w:rPr>
        <w:rFonts w:hint="eastAsia"/>
      </w:rPr>
      <w:t xml:space="preserve">T/GDSES </w:t>
    </w:r>
    <w:r>
      <w:rPr>
        <w:rFonts w:ascii="黑体" w:hAnsi="黑体" w:eastAsia="黑体"/>
        <w:sz w:val="21"/>
        <w:szCs w:val="21"/>
      </w:rPr>
      <w:fldChar w:fldCharType="begin">
        <w:ffData>
          <w:name w:val="ICS"/>
          <w:enabled/>
          <w:calcOnExit w:val="0"/>
          <w:textInput>
            <w:default w:val="XXXXX"/>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XXXXX</w:t>
    </w:r>
    <w:r>
      <w:rPr>
        <w:rFonts w:ascii="黑体" w:hAnsi="黑体" w:eastAsia="黑体"/>
        <w:sz w:val="21"/>
        <w:szCs w:val="21"/>
      </w:rPr>
      <w:fldChar w:fldCharType="end"/>
    </w:r>
  </w:p>
  <w:p w14:paraId="5DE0B5CA">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194BD">
    <w:pPr>
      <w:pStyle w:val="37"/>
      <w:jc w:val="right"/>
    </w:pPr>
    <w:r>
      <w:rPr>
        <w:rFonts w:hint="eastAsia"/>
      </w:rPr>
      <w:t>T/GDSES XXX-XXXX</w:t>
    </w:r>
  </w:p>
  <w:p w14:paraId="491CC1C2">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A8589">
    <w:pPr>
      <w:pStyle w:val="37"/>
      <w:wordWrap w:val="0"/>
      <w:ind w:firstLine="420" w:firstLineChars="200"/>
    </w:pPr>
    <w:r>
      <w:rPr>
        <w:rFonts w:hint="eastAsia"/>
      </w:rPr>
      <w:t xml:space="preserve">T/GDSES </w:t>
    </w:r>
    <w:r>
      <w:rPr>
        <w:rFonts w:ascii="黑体" w:hAnsi="黑体" w:eastAsia="黑体"/>
        <w:sz w:val="21"/>
        <w:szCs w:val="21"/>
      </w:rPr>
      <w:fldChar w:fldCharType="begin">
        <w:ffData>
          <w:name w:val="ICS"/>
          <w:enabled/>
          <w:calcOnExit w:val="0"/>
          <w:textInput>
            <w:default w:val="XXXXX"/>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XXXXX</w:t>
    </w:r>
    <w:r>
      <w:rPr>
        <w:rFonts w:ascii="黑体" w:hAnsi="黑体" w:eastAsia="黑体"/>
        <w:sz w:val="21"/>
        <w:szCs w:val="21"/>
      </w:rPr>
      <w:fldChar w:fldCharType="end"/>
    </w:r>
  </w:p>
  <w:p w14:paraId="56145C6E">
    <w:pPr>
      <w:pStyle w:val="12"/>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5BCED">
    <w:pPr>
      <w:pStyle w:val="37"/>
      <w:jc w:val="left"/>
    </w:pPr>
    <w:r>
      <w:rPr>
        <w:rFonts w:hint="eastAsia"/>
      </w:rPr>
      <w:t xml:space="preserve">T/GDSES </w:t>
    </w:r>
    <w:r>
      <w:rPr>
        <w:rFonts w:ascii="黑体" w:hAnsi="黑体" w:eastAsia="黑体"/>
        <w:sz w:val="21"/>
        <w:szCs w:val="21"/>
      </w:rPr>
      <w:fldChar w:fldCharType="begin">
        <w:ffData>
          <w:name w:val="ICS"/>
          <w:enabled/>
          <w:calcOnExit w:val="0"/>
          <w:textInput>
            <w:default w:val="XXXXX"/>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XXXXX</w:t>
    </w:r>
    <w:r>
      <w:rPr>
        <w:rFonts w:ascii="黑体" w:hAnsi="黑体" w:eastAsia="黑体"/>
        <w:sz w:val="21"/>
        <w:szCs w:val="21"/>
      </w:rPr>
      <w:fldChar w:fldCharType="end"/>
    </w:r>
  </w:p>
  <w:p w14:paraId="450057CB">
    <w:pPr>
      <w:pStyle w:val="37"/>
      <w:jc w:val="left"/>
    </w:pPr>
  </w:p>
  <w:p w14:paraId="1F9FCA85">
    <w:pPr>
      <w:pStyle w:val="12"/>
      <w:pBdr>
        <w:bottom w:val="none" w:color="auto" w:sz="0" w:space="0"/>
      </w:pBdr>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54D986"/>
    <w:multiLevelType w:val="singleLevel"/>
    <w:tmpl w:val="1454D986"/>
    <w:lvl w:ilvl="0" w:tentative="0">
      <w:start w:val="1"/>
      <w:numFmt w:val="lowerLetter"/>
      <w:suff w:val="space"/>
      <w:lvlText w:val="%1）"/>
      <w:lvlJc w:val="left"/>
      <w:pPr>
        <w:ind w:left="822" w:leftChars="0" w:hanging="425" w:firstLineChars="0"/>
      </w:pPr>
    </w:lvl>
  </w:abstractNum>
  <w:abstractNum w:abstractNumId="1">
    <w:nsid w:val="25B973F3"/>
    <w:multiLevelType w:val="multilevel"/>
    <w:tmpl w:val="25B973F3"/>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tabs>
          <w:tab w:val="left" w:pos="0"/>
        </w:tabs>
        <w:ind w:left="142" w:hanging="142"/>
      </w:pPr>
      <w:rPr>
        <w:rFonts w:hint="default" w:ascii="黑体" w:eastAsia="黑体"/>
        <w:b w:val="0"/>
        <w:i w:val="0"/>
        <w:sz w:val="21"/>
      </w:rPr>
    </w:lvl>
    <w:lvl w:ilvl="2" w:tentative="0">
      <w:start w:val="1"/>
      <w:numFmt w:val="decimal"/>
      <w:suff w:val="nothing"/>
      <w:lvlText w:val="%1%2.%3　"/>
      <w:lvlJc w:val="left"/>
      <w:pPr>
        <w:tabs>
          <w:tab w:val="left" w:pos="0"/>
        </w:tabs>
        <w:ind w:left="567" w:hanging="567"/>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leftChars="0" w:firstLine="0" w:firstLineChars="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evenAndOddHeaders w:val="1"/>
  <w:drawingGridHorizontalSpacing w:val="140"/>
  <w:drawingGridVerticalSpacing w:val="19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2ZDZlMDdhMmVlOTBhMDlhZTg5NTc1NzQ4MGQxYTUifQ=="/>
    <w:docVar w:name="KSO_WPS_MARK_KEY" w:val="5c536205-185e-4fdf-b3fe-c88143c62a78"/>
  </w:docVars>
  <w:rsids>
    <w:rsidRoot w:val="00172A27"/>
    <w:rsid w:val="000251E1"/>
    <w:rsid w:val="00027824"/>
    <w:rsid w:val="00027EAA"/>
    <w:rsid w:val="000371B4"/>
    <w:rsid w:val="000A296D"/>
    <w:rsid w:val="000A5921"/>
    <w:rsid w:val="000C0EA8"/>
    <w:rsid w:val="000C2047"/>
    <w:rsid w:val="000C206A"/>
    <w:rsid w:val="000C51BA"/>
    <w:rsid w:val="000D3F31"/>
    <w:rsid w:val="000E7706"/>
    <w:rsid w:val="000F1990"/>
    <w:rsid w:val="000F7DB6"/>
    <w:rsid w:val="00103B7C"/>
    <w:rsid w:val="00147801"/>
    <w:rsid w:val="00163CA5"/>
    <w:rsid w:val="00172424"/>
    <w:rsid w:val="00172A27"/>
    <w:rsid w:val="00183BA6"/>
    <w:rsid w:val="001846D0"/>
    <w:rsid w:val="001A0C9E"/>
    <w:rsid w:val="001B0A2C"/>
    <w:rsid w:val="001B6256"/>
    <w:rsid w:val="001B6A53"/>
    <w:rsid w:val="001E7958"/>
    <w:rsid w:val="001F0A9D"/>
    <w:rsid w:val="0020144A"/>
    <w:rsid w:val="00214EB6"/>
    <w:rsid w:val="00236DA2"/>
    <w:rsid w:val="0024792F"/>
    <w:rsid w:val="00264BBE"/>
    <w:rsid w:val="00273AA0"/>
    <w:rsid w:val="00276FB4"/>
    <w:rsid w:val="002A2509"/>
    <w:rsid w:val="002A333E"/>
    <w:rsid w:val="002B1312"/>
    <w:rsid w:val="002C12B3"/>
    <w:rsid w:val="002C6F8A"/>
    <w:rsid w:val="002F3C81"/>
    <w:rsid w:val="00305CA6"/>
    <w:rsid w:val="00314AE0"/>
    <w:rsid w:val="00320702"/>
    <w:rsid w:val="00340F6A"/>
    <w:rsid w:val="00342D54"/>
    <w:rsid w:val="00363A92"/>
    <w:rsid w:val="00376A04"/>
    <w:rsid w:val="003831AA"/>
    <w:rsid w:val="00390C3B"/>
    <w:rsid w:val="003C4F67"/>
    <w:rsid w:val="003E3F2C"/>
    <w:rsid w:val="003F20AD"/>
    <w:rsid w:val="003F3F61"/>
    <w:rsid w:val="003F4D0F"/>
    <w:rsid w:val="003F7588"/>
    <w:rsid w:val="00413AA3"/>
    <w:rsid w:val="00440475"/>
    <w:rsid w:val="0046160B"/>
    <w:rsid w:val="00481D28"/>
    <w:rsid w:val="00492442"/>
    <w:rsid w:val="004B2750"/>
    <w:rsid w:val="004B371A"/>
    <w:rsid w:val="004C0103"/>
    <w:rsid w:val="004D4D76"/>
    <w:rsid w:val="004F3DC6"/>
    <w:rsid w:val="00517000"/>
    <w:rsid w:val="00535681"/>
    <w:rsid w:val="00586520"/>
    <w:rsid w:val="00594659"/>
    <w:rsid w:val="005953F7"/>
    <w:rsid w:val="005D7B8F"/>
    <w:rsid w:val="005E29E4"/>
    <w:rsid w:val="00613BCF"/>
    <w:rsid w:val="00614255"/>
    <w:rsid w:val="0061446A"/>
    <w:rsid w:val="006644D2"/>
    <w:rsid w:val="00684ECA"/>
    <w:rsid w:val="006A448F"/>
    <w:rsid w:val="006E343B"/>
    <w:rsid w:val="006E5119"/>
    <w:rsid w:val="00702225"/>
    <w:rsid w:val="00722354"/>
    <w:rsid w:val="00731DF2"/>
    <w:rsid w:val="00763D25"/>
    <w:rsid w:val="00787CF2"/>
    <w:rsid w:val="007A0FF1"/>
    <w:rsid w:val="007B1886"/>
    <w:rsid w:val="007C06C6"/>
    <w:rsid w:val="007C3717"/>
    <w:rsid w:val="007C4A58"/>
    <w:rsid w:val="007E253B"/>
    <w:rsid w:val="007F7BA4"/>
    <w:rsid w:val="00812595"/>
    <w:rsid w:val="00816305"/>
    <w:rsid w:val="00820195"/>
    <w:rsid w:val="00831F27"/>
    <w:rsid w:val="00860877"/>
    <w:rsid w:val="00863548"/>
    <w:rsid w:val="00865DA4"/>
    <w:rsid w:val="00867E25"/>
    <w:rsid w:val="00872B50"/>
    <w:rsid w:val="008A3611"/>
    <w:rsid w:val="008A4B45"/>
    <w:rsid w:val="008C3FD2"/>
    <w:rsid w:val="008C5B29"/>
    <w:rsid w:val="008D650C"/>
    <w:rsid w:val="008E377B"/>
    <w:rsid w:val="008F05AA"/>
    <w:rsid w:val="009105ED"/>
    <w:rsid w:val="00930C19"/>
    <w:rsid w:val="00930DDB"/>
    <w:rsid w:val="009459E6"/>
    <w:rsid w:val="009528D6"/>
    <w:rsid w:val="00963308"/>
    <w:rsid w:val="00972CEA"/>
    <w:rsid w:val="00980CF2"/>
    <w:rsid w:val="009972A8"/>
    <w:rsid w:val="009B36D6"/>
    <w:rsid w:val="009B5F99"/>
    <w:rsid w:val="009D0CD1"/>
    <w:rsid w:val="009D1907"/>
    <w:rsid w:val="009E387C"/>
    <w:rsid w:val="00A05AD6"/>
    <w:rsid w:val="00A25A17"/>
    <w:rsid w:val="00A31BBE"/>
    <w:rsid w:val="00A33396"/>
    <w:rsid w:val="00A4081E"/>
    <w:rsid w:val="00A92AE4"/>
    <w:rsid w:val="00AA4369"/>
    <w:rsid w:val="00AE5D47"/>
    <w:rsid w:val="00AF40B5"/>
    <w:rsid w:val="00AF47F4"/>
    <w:rsid w:val="00B020AA"/>
    <w:rsid w:val="00B0460A"/>
    <w:rsid w:val="00B07F91"/>
    <w:rsid w:val="00B31472"/>
    <w:rsid w:val="00B434FA"/>
    <w:rsid w:val="00B475EF"/>
    <w:rsid w:val="00B71837"/>
    <w:rsid w:val="00B7420E"/>
    <w:rsid w:val="00B813BB"/>
    <w:rsid w:val="00B91878"/>
    <w:rsid w:val="00BA2887"/>
    <w:rsid w:val="00BB5DD1"/>
    <w:rsid w:val="00BC6088"/>
    <w:rsid w:val="00BC7963"/>
    <w:rsid w:val="00BD10A9"/>
    <w:rsid w:val="00BE254E"/>
    <w:rsid w:val="00BF4A1B"/>
    <w:rsid w:val="00C0307E"/>
    <w:rsid w:val="00C04358"/>
    <w:rsid w:val="00C06E5F"/>
    <w:rsid w:val="00C45C01"/>
    <w:rsid w:val="00C4799C"/>
    <w:rsid w:val="00C74A07"/>
    <w:rsid w:val="00C92C88"/>
    <w:rsid w:val="00C93D30"/>
    <w:rsid w:val="00C97B0A"/>
    <w:rsid w:val="00CB4DD7"/>
    <w:rsid w:val="00CD6D71"/>
    <w:rsid w:val="00CE1649"/>
    <w:rsid w:val="00CE5FFA"/>
    <w:rsid w:val="00CF7878"/>
    <w:rsid w:val="00D0710F"/>
    <w:rsid w:val="00D501B1"/>
    <w:rsid w:val="00D65F13"/>
    <w:rsid w:val="00DA2C1B"/>
    <w:rsid w:val="00DA71B0"/>
    <w:rsid w:val="00DB2500"/>
    <w:rsid w:val="00DB2A40"/>
    <w:rsid w:val="00DC6F31"/>
    <w:rsid w:val="00DD76E0"/>
    <w:rsid w:val="00DF1783"/>
    <w:rsid w:val="00DF4D0D"/>
    <w:rsid w:val="00DF4F70"/>
    <w:rsid w:val="00E1283D"/>
    <w:rsid w:val="00E236A2"/>
    <w:rsid w:val="00E30648"/>
    <w:rsid w:val="00E42A2B"/>
    <w:rsid w:val="00E53BCE"/>
    <w:rsid w:val="00E62EDA"/>
    <w:rsid w:val="00E6632B"/>
    <w:rsid w:val="00EC60CB"/>
    <w:rsid w:val="00EE0ED2"/>
    <w:rsid w:val="00EE6546"/>
    <w:rsid w:val="00F0431A"/>
    <w:rsid w:val="00F12496"/>
    <w:rsid w:val="00F25A56"/>
    <w:rsid w:val="00F6202B"/>
    <w:rsid w:val="00F64CCF"/>
    <w:rsid w:val="00F67EF5"/>
    <w:rsid w:val="00F86E98"/>
    <w:rsid w:val="00F97E07"/>
    <w:rsid w:val="00FA3EA1"/>
    <w:rsid w:val="01103C85"/>
    <w:rsid w:val="01315114"/>
    <w:rsid w:val="01523719"/>
    <w:rsid w:val="01572A8B"/>
    <w:rsid w:val="0169469F"/>
    <w:rsid w:val="01BF5575"/>
    <w:rsid w:val="01C930EB"/>
    <w:rsid w:val="01CE27A7"/>
    <w:rsid w:val="01F9159A"/>
    <w:rsid w:val="01F95F57"/>
    <w:rsid w:val="02146246"/>
    <w:rsid w:val="02301A8A"/>
    <w:rsid w:val="02362E93"/>
    <w:rsid w:val="02370B53"/>
    <w:rsid w:val="02532161"/>
    <w:rsid w:val="027A4E4E"/>
    <w:rsid w:val="02954FA2"/>
    <w:rsid w:val="02C00E04"/>
    <w:rsid w:val="02CA48CB"/>
    <w:rsid w:val="02E45A9F"/>
    <w:rsid w:val="03067372"/>
    <w:rsid w:val="033F27F6"/>
    <w:rsid w:val="035D6E44"/>
    <w:rsid w:val="037B3A96"/>
    <w:rsid w:val="03A14AFB"/>
    <w:rsid w:val="040E5D4C"/>
    <w:rsid w:val="04461202"/>
    <w:rsid w:val="04537727"/>
    <w:rsid w:val="045B3516"/>
    <w:rsid w:val="048A1E0D"/>
    <w:rsid w:val="04945CF4"/>
    <w:rsid w:val="049D4466"/>
    <w:rsid w:val="050111BD"/>
    <w:rsid w:val="051C1F19"/>
    <w:rsid w:val="054056C9"/>
    <w:rsid w:val="05500BDA"/>
    <w:rsid w:val="05836788"/>
    <w:rsid w:val="05A027FD"/>
    <w:rsid w:val="05A21539"/>
    <w:rsid w:val="05DA6DE4"/>
    <w:rsid w:val="06093BA2"/>
    <w:rsid w:val="060E6605"/>
    <w:rsid w:val="06130F41"/>
    <w:rsid w:val="06181863"/>
    <w:rsid w:val="06203730"/>
    <w:rsid w:val="062D020C"/>
    <w:rsid w:val="06474673"/>
    <w:rsid w:val="0680729D"/>
    <w:rsid w:val="06C8063B"/>
    <w:rsid w:val="06E47F32"/>
    <w:rsid w:val="0712371A"/>
    <w:rsid w:val="0714439C"/>
    <w:rsid w:val="072639A0"/>
    <w:rsid w:val="076D52D1"/>
    <w:rsid w:val="0797489E"/>
    <w:rsid w:val="080E6670"/>
    <w:rsid w:val="081022CA"/>
    <w:rsid w:val="08214E66"/>
    <w:rsid w:val="083211B1"/>
    <w:rsid w:val="08533F3D"/>
    <w:rsid w:val="08774A53"/>
    <w:rsid w:val="08D30614"/>
    <w:rsid w:val="08D64D9A"/>
    <w:rsid w:val="09177F9F"/>
    <w:rsid w:val="091D23AD"/>
    <w:rsid w:val="09583F3F"/>
    <w:rsid w:val="09604F44"/>
    <w:rsid w:val="09931300"/>
    <w:rsid w:val="09BC5582"/>
    <w:rsid w:val="0A0A108F"/>
    <w:rsid w:val="0A235D47"/>
    <w:rsid w:val="0A2A2F44"/>
    <w:rsid w:val="0A2C17A5"/>
    <w:rsid w:val="0A7130D1"/>
    <w:rsid w:val="0A8A7287"/>
    <w:rsid w:val="0A93484F"/>
    <w:rsid w:val="0ADB72FE"/>
    <w:rsid w:val="0AEB09F0"/>
    <w:rsid w:val="0B0D3ACE"/>
    <w:rsid w:val="0B1B166E"/>
    <w:rsid w:val="0B1E1804"/>
    <w:rsid w:val="0B487587"/>
    <w:rsid w:val="0BB753F9"/>
    <w:rsid w:val="0BF049FB"/>
    <w:rsid w:val="0BFF10C4"/>
    <w:rsid w:val="0C1832D7"/>
    <w:rsid w:val="0C362D03"/>
    <w:rsid w:val="0C397CC8"/>
    <w:rsid w:val="0C693ED3"/>
    <w:rsid w:val="0CC40C66"/>
    <w:rsid w:val="0CD45B32"/>
    <w:rsid w:val="0CDA0591"/>
    <w:rsid w:val="0CF0071A"/>
    <w:rsid w:val="0D4E3B84"/>
    <w:rsid w:val="0D715ADC"/>
    <w:rsid w:val="0D730AAD"/>
    <w:rsid w:val="0D7B323D"/>
    <w:rsid w:val="0DA57053"/>
    <w:rsid w:val="0DA94722"/>
    <w:rsid w:val="0DD26088"/>
    <w:rsid w:val="0DEE0680"/>
    <w:rsid w:val="0E264131"/>
    <w:rsid w:val="0E28227D"/>
    <w:rsid w:val="0E2B3F92"/>
    <w:rsid w:val="0E760E12"/>
    <w:rsid w:val="0E933802"/>
    <w:rsid w:val="0EC266A4"/>
    <w:rsid w:val="0EEF35FF"/>
    <w:rsid w:val="0F0C791F"/>
    <w:rsid w:val="0F2812CC"/>
    <w:rsid w:val="0F4C2412"/>
    <w:rsid w:val="0F575821"/>
    <w:rsid w:val="0F6823C9"/>
    <w:rsid w:val="0F6C4ADB"/>
    <w:rsid w:val="0F6E2388"/>
    <w:rsid w:val="0F777267"/>
    <w:rsid w:val="0FAD4EB6"/>
    <w:rsid w:val="0FBF5F54"/>
    <w:rsid w:val="0FEE5277"/>
    <w:rsid w:val="0FFFD10F"/>
    <w:rsid w:val="10117056"/>
    <w:rsid w:val="105A3CCD"/>
    <w:rsid w:val="106F230C"/>
    <w:rsid w:val="109202F8"/>
    <w:rsid w:val="109612EC"/>
    <w:rsid w:val="10990CC2"/>
    <w:rsid w:val="10BA3FE3"/>
    <w:rsid w:val="10BC5788"/>
    <w:rsid w:val="10BD1ABB"/>
    <w:rsid w:val="10F55693"/>
    <w:rsid w:val="11362FAC"/>
    <w:rsid w:val="11606150"/>
    <w:rsid w:val="117554AB"/>
    <w:rsid w:val="11AF1EFA"/>
    <w:rsid w:val="11EF560E"/>
    <w:rsid w:val="122E0656"/>
    <w:rsid w:val="12851F6D"/>
    <w:rsid w:val="12926317"/>
    <w:rsid w:val="129B4FF8"/>
    <w:rsid w:val="12DD1469"/>
    <w:rsid w:val="13094107"/>
    <w:rsid w:val="131261F7"/>
    <w:rsid w:val="131C0872"/>
    <w:rsid w:val="136165D0"/>
    <w:rsid w:val="13783038"/>
    <w:rsid w:val="137F43B3"/>
    <w:rsid w:val="139A1B48"/>
    <w:rsid w:val="13B571D8"/>
    <w:rsid w:val="13B61924"/>
    <w:rsid w:val="13B862C8"/>
    <w:rsid w:val="13BB1305"/>
    <w:rsid w:val="13C51B57"/>
    <w:rsid w:val="13D56206"/>
    <w:rsid w:val="1441468E"/>
    <w:rsid w:val="144D239D"/>
    <w:rsid w:val="14820E20"/>
    <w:rsid w:val="14D25167"/>
    <w:rsid w:val="14DF4F91"/>
    <w:rsid w:val="152F0032"/>
    <w:rsid w:val="153C0EF5"/>
    <w:rsid w:val="157D3EE1"/>
    <w:rsid w:val="1591131E"/>
    <w:rsid w:val="15F82D57"/>
    <w:rsid w:val="16300397"/>
    <w:rsid w:val="164F5AD0"/>
    <w:rsid w:val="167C6168"/>
    <w:rsid w:val="171866C0"/>
    <w:rsid w:val="17742C5A"/>
    <w:rsid w:val="177C5FE7"/>
    <w:rsid w:val="17B90B51"/>
    <w:rsid w:val="17CA7CA9"/>
    <w:rsid w:val="17F6043A"/>
    <w:rsid w:val="185D53CE"/>
    <w:rsid w:val="188E32A6"/>
    <w:rsid w:val="18A62807"/>
    <w:rsid w:val="18BF5AF4"/>
    <w:rsid w:val="18E70C51"/>
    <w:rsid w:val="18F60855"/>
    <w:rsid w:val="19011EDE"/>
    <w:rsid w:val="19034BF0"/>
    <w:rsid w:val="19175B8E"/>
    <w:rsid w:val="19236A8D"/>
    <w:rsid w:val="19314A73"/>
    <w:rsid w:val="193868E4"/>
    <w:rsid w:val="19510D51"/>
    <w:rsid w:val="19A041E8"/>
    <w:rsid w:val="19AD27BE"/>
    <w:rsid w:val="19B9109A"/>
    <w:rsid w:val="19E8735D"/>
    <w:rsid w:val="19F913EA"/>
    <w:rsid w:val="1A4D2A24"/>
    <w:rsid w:val="1A8C7B66"/>
    <w:rsid w:val="1AC32E37"/>
    <w:rsid w:val="1ADD14EA"/>
    <w:rsid w:val="1AFB2471"/>
    <w:rsid w:val="1AFD518A"/>
    <w:rsid w:val="1B175673"/>
    <w:rsid w:val="1B644B05"/>
    <w:rsid w:val="1B6A0507"/>
    <w:rsid w:val="1B965F32"/>
    <w:rsid w:val="1BB65DF7"/>
    <w:rsid w:val="1BBE6506"/>
    <w:rsid w:val="1BDB1F5B"/>
    <w:rsid w:val="1C1F6928"/>
    <w:rsid w:val="1C20630D"/>
    <w:rsid w:val="1C4422C4"/>
    <w:rsid w:val="1CB11674"/>
    <w:rsid w:val="1CC30701"/>
    <w:rsid w:val="1CE01A42"/>
    <w:rsid w:val="1CE24125"/>
    <w:rsid w:val="1CE91DAA"/>
    <w:rsid w:val="1D37642B"/>
    <w:rsid w:val="1D5C5434"/>
    <w:rsid w:val="1D752064"/>
    <w:rsid w:val="1DBA6F20"/>
    <w:rsid w:val="1DBB273F"/>
    <w:rsid w:val="1DD8457B"/>
    <w:rsid w:val="1DDC7CAC"/>
    <w:rsid w:val="1DFA69ED"/>
    <w:rsid w:val="1DFB05A3"/>
    <w:rsid w:val="1DFD058F"/>
    <w:rsid w:val="1E2F5C95"/>
    <w:rsid w:val="1E3828A4"/>
    <w:rsid w:val="1EFD6FD5"/>
    <w:rsid w:val="1F4F4D47"/>
    <w:rsid w:val="1F503858"/>
    <w:rsid w:val="1F5A0233"/>
    <w:rsid w:val="1F713962"/>
    <w:rsid w:val="1F9803E9"/>
    <w:rsid w:val="1F9E64FE"/>
    <w:rsid w:val="1FD4277A"/>
    <w:rsid w:val="1FD86FD9"/>
    <w:rsid w:val="1FF19789"/>
    <w:rsid w:val="1FF651FA"/>
    <w:rsid w:val="204E6348"/>
    <w:rsid w:val="2068772D"/>
    <w:rsid w:val="20844A9D"/>
    <w:rsid w:val="208E145F"/>
    <w:rsid w:val="20C35D49"/>
    <w:rsid w:val="20F26E84"/>
    <w:rsid w:val="20FC5942"/>
    <w:rsid w:val="20FE2569"/>
    <w:rsid w:val="2102004E"/>
    <w:rsid w:val="21033106"/>
    <w:rsid w:val="210558B4"/>
    <w:rsid w:val="212D5F93"/>
    <w:rsid w:val="212E7313"/>
    <w:rsid w:val="21772144"/>
    <w:rsid w:val="219C6742"/>
    <w:rsid w:val="21A83603"/>
    <w:rsid w:val="21C163FC"/>
    <w:rsid w:val="21C23BE0"/>
    <w:rsid w:val="21CD1190"/>
    <w:rsid w:val="21D66F2A"/>
    <w:rsid w:val="220724F4"/>
    <w:rsid w:val="221D0FBB"/>
    <w:rsid w:val="226C2C82"/>
    <w:rsid w:val="22714212"/>
    <w:rsid w:val="227B299A"/>
    <w:rsid w:val="227C40CF"/>
    <w:rsid w:val="22E04B5F"/>
    <w:rsid w:val="22EB37E0"/>
    <w:rsid w:val="22EB67EB"/>
    <w:rsid w:val="22EF4587"/>
    <w:rsid w:val="231F3D05"/>
    <w:rsid w:val="23482E4D"/>
    <w:rsid w:val="2375253B"/>
    <w:rsid w:val="23B048C6"/>
    <w:rsid w:val="23E57110"/>
    <w:rsid w:val="2432177F"/>
    <w:rsid w:val="247E745F"/>
    <w:rsid w:val="247F052A"/>
    <w:rsid w:val="24A450B5"/>
    <w:rsid w:val="25252CAA"/>
    <w:rsid w:val="254B15A9"/>
    <w:rsid w:val="256F489A"/>
    <w:rsid w:val="258B5129"/>
    <w:rsid w:val="25A95EFC"/>
    <w:rsid w:val="25BC1E4A"/>
    <w:rsid w:val="25E43E33"/>
    <w:rsid w:val="25EF675A"/>
    <w:rsid w:val="25FA4A69"/>
    <w:rsid w:val="26044CE7"/>
    <w:rsid w:val="262B10A7"/>
    <w:rsid w:val="26634609"/>
    <w:rsid w:val="269C21A5"/>
    <w:rsid w:val="26D562E8"/>
    <w:rsid w:val="26E0225A"/>
    <w:rsid w:val="26E96596"/>
    <w:rsid w:val="26F471BF"/>
    <w:rsid w:val="270A72C7"/>
    <w:rsid w:val="271761CF"/>
    <w:rsid w:val="272C3349"/>
    <w:rsid w:val="27396B12"/>
    <w:rsid w:val="27667A03"/>
    <w:rsid w:val="27AC1F71"/>
    <w:rsid w:val="27CF73BC"/>
    <w:rsid w:val="27E61A0A"/>
    <w:rsid w:val="27F04933"/>
    <w:rsid w:val="280A29A4"/>
    <w:rsid w:val="2863555C"/>
    <w:rsid w:val="28675438"/>
    <w:rsid w:val="286C1E8C"/>
    <w:rsid w:val="28EE7D08"/>
    <w:rsid w:val="29272EA2"/>
    <w:rsid w:val="29307EEC"/>
    <w:rsid w:val="294A77DA"/>
    <w:rsid w:val="29742490"/>
    <w:rsid w:val="297B7E4E"/>
    <w:rsid w:val="29DA16FD"/>
    <w:rsid w:val="29F754AD"/>
    <w:rsid w:val="2A0973AA"/>
    <w:rsid w:val="2A892269"/>
    <w:rsid w:val="2A994305"/>
    <w:rsid w:val="2A9F1518"/>
    <w:rsid w:val="2A9F3873"/>
    <w:rsid w:val="2AB277CC"/>
    <w:rsid w:val="2ABC4498"/>
    <w:rsid w:val="2AC5795C"/>
    <w:rsid w:val="2B1B284C"/>
    <w:rsid w:val="2B230569"/>
    <w:rsid w:val="2B345329"/>
    <w:rsid w:val="2B5F3E65"/>
    <w:rsid w:val="2BB12D64"/>
    <w:rsid w:val="2BD31591"/>
    <w:rsid w:val="2C2F1D84"/>
    <w:rsid w:val="2C3E2A75"/>
    <w:rsid w:val="2C69557F"/>
    <w:rsid w:val="2C934D05"/>
    <w:rsid w:val="2CC840D1"/>
    <w:rsid w:val="2CE32773"/>
    <w:rsid w:val="2CFD056B"/>
    <w:rsid w:val="2D092164"/>
    <w:rsid w:val="2D60110A"/>
    <w:rsid w:val="2D7834B7"/>
    <w:rsid w:val="2D8900A4"/>
    <w:rsid w:val="2E1D20B5"/>
    <w:rsid w:val="2E5E60D7"/>
    <w:rsid w:val="2E7E2708"/>
    <w:rsid w:val="2EB828A0"/>
    <w:rsid w:val="2EC339C0"/>
    <w:rsid w:val="2EFE642E"/>
    <w:rsid w:val="2F087D6B"/>
    <w:rsid w:val="2F230A18"/>
    <w:rsid w:val="2F497988"/>
    <w:rsid w:val="2F791349"/>
    <w:rsid w:val="2F827716"/>
    <w:rsid w:val="2FAB2137"/>
    <w:rsid w:val="2FAFE85A"/>
    <w:rsid w:val="2FCE0E83"/>
    <w:rsid w:val="2FEE7B11"/>
    <w:rsid w:val="303A4E69"/>
    <w:rsid w:val="30F64CDF"/>
    <w:rsid w:val="30F79253"/>
    <w:rsid w:val="312B1802"/>
    <w:rsid w:val="312C64DA"/>
    <w:rsid w:val="31480D33"/>
    <w:rsid w:val="31635222"/>
    <w:rsid w:val="316C3ADC"/>
    <w:rsid w:val="31C02779"/>
    <w:rsid w:val="31CE72C8"/>
    <w:rsid w:val="32275918"/>
    <w:rsid w:val="32350913"/>
    <w:rsid w:val="326B5964"/>
    <w:rsid w:val="32BFCE12"/>
    <w:rsid w:val="32CA4215"/>
    <w:rsid w:val="33015732"/>
    <w:rsid w:val="332A5370"/>
    <w:rsid w:val="33312DFB"/>
    <w:rsid w:val="3332629B"/>
    <w:rsid w:val="33341D63"/>
    <w:rsid w:val="33784CD4"/>
    <w:rsid w:val="337B4CB1"/>
    <w:rsid w:val="33802DD5"/>
    <w:rsid w:val="33B5131C"/>
    <w:rsid w:val="33BE7760"/>
    <w:rsid w:val="33DB2A98"/>
    <w:rsid w:val="34094B83"/>
    <w:rsid w:val="340E6403"/>
    <w:rsid w:val="34704DB8"/>
    <w:rsid w:val="349850B7"/>
    <w:rsid w:val="34A35051"/>
    <w:rsid w:val="34DA03D9"/>
    <w:rsid w:val="34E02B31"/>
    <w:rsid w:val="34E15227"/>
    <w:rsid w:val="35374858"/>
    <w:rsid w:val="355661D2"/>
    <w:rsid w:val="35887DB0"/>
    <w:rsid w:val="35B95C49"/>
    <w:rsid w:val="35BD03D4"/>
    <w:rsid w:val="35D94045"/>
    <w:rsid w:val="35EF611D"/>
    <w:rsid w:val="360F7F00"/>
    <w:rsid w:val="362061AA"/>
    <w:rsid w:val="36261FC4"/>
    <w:rsid w:val="364517E5"/>
    <w:rsid w:val="3650067F"/>
    <w:rsid w:val="368D6E6C"/>
    <w:rsid w:val="36E254F0"/>
    <w:rsid w:val="36E81CF7"/>
    <w:rsid w:val="36ED3A12"/>
    <w:rsid w:val="36F765EA"/>
    <w:rsid w:val="370315D5"/>
    <w:rsid w:val="37096444"/>
    <w:rsid w:val="37116EEF"/>
    <w:rsid w:val="37400A6A"/>
    <w:rsid w:val="37737CF8"/>
    <w:rsid w:val="37805F66"/>
    <w:rsid w:val="37A0294F"/>
    <w:rsid w:val="37B7312E"/>
    <w:rsid w:val="37BE101A"/>
    <w:rsid w:val="37C02144"/>
    <w:rsid w:val="37DA5BD4"/>
    <w:rsid w:val="37DF1052"/>
    <w:rsid w:val="37F36CEB"/>
    <w:rsid w:val="37FBEAFF"/>
    <w:rsid w:val="38126C27"/>
    <w:rsid w:val="389F584C"/>
    <w:rsid w:val="38B60123"/>
    <w:rsid w:val="38CF7906"/>
    <w:rsid w:val="38ED29E0"/>
    <w:rsid w:val="391C3465"/>
    <w:rsid w:val="39232438"/>
    <w:rsid w:val="39441BC2"/>
    <w:rsid w:val="394954AB"/>
    <w:rsid w:val="396B5DD6"/>
    <w:rsid w:val="396F34BB"/>
    <w:rsid w:val="3972700B"/>
    <w:rsid w:val="39897A59"/>
    <w:rsid w:val="398C4A54"/>
    <w:rsid w:val="39E96D0F"/>
    <w:rsid w:val="39FCA71A"/>
    <w:rsid w:val="3A037B68"/>
    <w:rsid w:val="3A41291E"/>
    <w:rsid w:val="3A83690C"/>
    <w:rsid w:val="3AE560BF"/>
    <w:rsid w:val="3AFB1E32"/>
    <w:rsid w:val="3B065405"/>
    <w:rsid w:val="3B0A05D7"/>
    <w:rsid w:val="3B0F23B7"/>
    <w:rsid w:val="3B2D33DB"/>
    <w:rsid w:val="3B334F00"/>
    <w:rsid w:val="3B3E6803"/>
    <w:rsid w:val="3B70529C"/>
    <w:rsid w:val="3B7B92D7"/>
    <w:rsid w:val="3B7C5E05"/>
    <w:rsid w:val="3B9E50E5"/>
    <w:rsid w:val="3BB04292"/>
    <w:rsid w:val="3BB9368F"/>
    <w:rsid w:val="3BCBE627"/>
    <w:rsid w:val="3BD15E34"/>
    <w:rsid w:val="3C1E04D8"/>
    <w:rsid w:val="3C2004DD"/>
    <w:rsid w:val="3C371669"/>
    <w:rsid w:val="3C4C4489"/>
    <w:rsid w:val="3C577B7C"/>
    <w:rsid w:val="3C8144CD"/>
    <w:rsid w:val="3CB52577"/>
    <w:rsid w:val="3CF62B21"/>
    <w:rsid w:val="3D3779CB"/>
    <w:rsid w:val="3D436142"/>
    <w:rsid w:val="3D4F6E45"/>
    <w:rsid w:val="3DF66BA0"/>
    <w:rsid w:val="3DF86A11"/>
    <w:rsid w:val="3E0402FF"/>
    <w:rsid w:val="3E8738D5"/>
    <w:rsid w:val="3EFD1B8E"/>
    <w:rsid w:val="3F7C0233"/>
    <w:rsid w:val="3F7FBC3D"/>
    <w:rsid w:val="3F855572"/>
    <w:rsid w:val="3F993C42"/>
    <w:rsid w:val="3FA8751A"/>
    <w:rsid w:val="3FB71898"/>
    <w:rsid w:val="3FC70C9B"/>
    <w:rsid w:val="3FD83B7E"/>
    <w:rsid w:val="3FFF1DE2"/>
    <w:rsid w:val="401C5A3D"/>
    <w:rsid w:val="404C4543"/>
    <w:rsid w:val="40626ED2"/>
    <w:rsid w:val="406528AA"/>
    <w:rsid w:val="408B1120"/>
    <w:rsid w:val="408C0836"/>
    <w:rsid w:val="409802B8"/>
    <w:rsid w:val="409D025C"/>
    <w:rsid w:val="40BB7192"/>
    <w:rsid w:val="41142619"/>
    <w:rsid w:val="41446556"/>
    <w:rsid w:val="41A45E7B"/>
    <w:rsid w:val="41EA6079"/>
    <w:rsid w:val="4219002B"/>
    <w:rsid w:val="4223302D"/>
    <w:rsid w:val="424E2FB7"/>
    <w:rsid w:val="424E76B3"/>
    <w:rsid w:val="425B24EC"/>
    <w:rsid w:val="426A32EC"/>
    <w:rsid w:val="427C5144"/>
    <w:rsid w:val="42831A0F"/>
    <w:rsid w:val="428764A2"/>
    <w:rsid w:val="42A92087"/>
    <w:rsid w:val="42D5073B"/>
    <w:rsid w:val="42F16139"/>
    <w:rsid w:val="42F514C9"/>
    <w:rsid w:val="4315628E"/>
    <w:rsid w:val="432B2E30"/>
    <w:rsid w:val="4342521E"/>
    <w:rsid w:val="43686FB6"/>
    <w:rsid w:val="437E0F8D"/>
    <w:rsid w:val="44031F63"/>
    <w:rsid w:val="440B30F2"/>
    <w:rsid w:val="441F6627"/>
    <w:rsid w:val="442B0BA6"/>
    <w:rsid w:val="445F3A72"/>
    <w:rsid w:val="446971CC"/>
    <w:rsid w:val="44751B58"/>
    <w:rsid w:val="44B9201A"/>
    <w:rsid w:val="4539739C"/>
    <w:rsid w:val="454E0855"/>
    <w:rsid w:val="455A13CD"/>
    <w:rsid w:val="45736732"/>
    <w:rsid w:val="45995966"/>
    <w:rsid w:val="45A5515A"/>
    <w:rsid w:val="45C305FD"/>
    <w:rsid w:val="45CF4036"/>
    <w:rsid w:val="45F06AED"/>
    <w:rsid w:val="460D0F42"/>
    <w:rsid w:val="464208ED"/>
    <w:rsid w:val="46557BAA"/>
    <w:rsid w:val="467C5403"/>
    <w:rsid w:val="46844BF4"/>
    <w:rsid w:val="468E61A3"/>
    <w:rsid w:val="46A40D46"/>
    <w:rsid w:val="46A65F8C"/>
    <w:rsid w:val="46A824DC"/>
    <w:rsid w:val="46B520CD"/>
    <w:rsid w:val="46E95FF8"/>
    <w:rsid w:val="470628CB"/>
    <w:rsid w:val="470F4B8E"/>
    <w:rsid w:val="471209BB"/>
    <w:rsid w:val="473F63F0"/>
    <w:rsid w:val="4773190C"/>
    <w:rsid w:val="47ABCB87"/>
    <w:rsid w:val="47D81355"/>
    <w:rsid w:val="47F779D6"/>
    <w:rsid w:val="4839462D"/>
    <w:rsid w:val="4844568F"/>
    <w:rsid w:val="48693961"/>
    <w:rsid w:val="486D24D6"/>
    <w:rsid w:val="48844874"/>
    <w:rsid w:val="488C38B5"/>
    <w:rsid w:val="489A7423"/>
    <w:rsid w:val="48C974C6"/>
    <w:rsid w:val="48D25BAA"/>
    <w:rsid w:val="48D370F5"/>
    <w:rsid w:val="48EB7FC7"/>
    <w:rsid w:val="48F417F3"/>
    <w:rsid w:val="49094C60"/>
    <w:rsid w:val="4911649C"/>
    <w:rsid w:val="493214C1"/>
    <w:rsid w:val="494A4BBD"/>
    <w:rsid w:val="494D61EC"/>
    <w:rsid w:val="49504FD5"/>
    <w:rsid w:val="49531B59"/>
    <w:rsid w:val="495D6C93"/>
    <w:rsid w:val="4970337F"/>
    <w:rsid w:val="49704A7E"/>
    <w:rsid w:val="49A91628"/>
    <w:rsid w:val="49AE5C94"/>
    <w:rsid w:val="49AF29AD"/>
    <w:rsid w:val="49B2684E"/>
    <w:rsid w:val="49C32B30"/>
    <w:rsid w:val="4A24599E"/>
    <w:rsid w:val="4A980854"/>
    <w:rsid w:val="4A9E0516"/>
    <w:rsid w:val="4ABF171D"/>
    <w:rsid w:val="4ACC6AF7"/>
    <w:rsid w:val="4B5D6832"/>
    <w:rsid w:val="4B6E68B5"/>
    <w:rsid w:val="4BBC3A7A"/>
    <w:rsid w:val="4BDC79A0"/>
    <w:rsid w:val="4BF27221"/>
    <w:rsid w:val="4BF526C5"/>
    <w:rsid w:val="4C270A73"/>
    <w:rsid w:val="4C4023DB"/>
    <w:rsid w:val="4C4849CD"/>
    <w:rsid w:val="4C9E4744"/>
    <w:rsid w:val="4CB73D0C"/>
    <w:rsid w:val="4CD13A72"/>
    <w:rsid w:val="4CDC14B9"/>
    <w:rsid w:val="4D061894"/>
    <w:rsid w:val="4D12791F"/>
    <w:rsid w:val="4D3E56FD"/>
    <w:rsid w:val="4D576F47"/>
    <w:rsid w:val="4D5F4AE3"/>
    <w:rsid w:val="4D6E7622"/>
    <w:rsid w:val="4D6F192F"/>
    <w:rsid w:val="4D78324C"/>
    <w:rsid w:val="4D917074"/>
    <w:rsid w:val="4D9A457A"/>
    <w:rsid w:val="4DA82B21"/>
    <w:rsid w:val="4DB20D58"/>
    <w:rsid w:val="4DBD19AE"/>
    <w:rsid w:val="4DF611A6"/>
    <w:rsid w:val="4E296E9F"/>
    <w:rsid w:val="4E3B72FE"/>
    <w:rsid w:val="4E4953E3"/>
    <w:rsid w:val="4E5F20B3"/>
    <w:rsid w:val="4E7052BD"/>
    <w:rsid w:val="4E875D72"/>
    <w:rsid w:val="4E9068C2"/>
    <w:rsid w:val="4EA517DB"/>
    <w:rsid w:val="4ED711AC"/>
    <w:rsid w:val="4EE71C26"/>
    <w:rsid w:val="4EEC7BD6"/>
    <w:rsid w:val="4F267C3D"/>
    <w:rsid w:val="4F4618E2"/>
    <w:rsid w:val="4FBA2429"/>
    <w:rsid w:val="4FBC3690"/>
    <w:rsid w:val="4FF5711E"/>
    <w:rsid w:val="4FFA6230"/>
    <w:rsid w:val="50243DC2"/>
    <w:rsid w:val="504F2431"/>
    <w:rsid w:val="50553E49"/>
    <w:rsid w:val="505A1C79"/>
    <w:rsid w:val="505F1E1C"/>
    <w:rsid w:val="508C3EE1"/>
    <w:rsid w:val="50982553"/>
    <w:rsid w:val="50CF382F"/>
    <w:rsid w:val="50E266BB"/>
    <w:rsid w:val="50E35FDA"/>
    <w:rsid w:val="50E931BE"/>
    <w:rsid w:val="511D1C25"/>
    <w:rsid w:val="513E4706"/>
    <w:rsid w:val="51435DAA"/>
    <w:rsid w:val="51490F2B"/>
    <w:rsid w:val="514C6A2E"/>
    <w:rsid w:val="519C3024"/>
    <w:rsid w:val="51B01310"/>
    <w:rsid w:val="52303ABB"/>
    <w:rsid w:val="524342D6"/>
    <w:rsid w:val="52451DBC"/>
    <w:rsid w:val="52BA477C"/>
    <w:rsid w:val="52C85166"/>
    <w:rsid w:val="52CA266A"/>
    <w:rsid w:val="52D30FD6"/>
    <w:rsid w:val="52DA009A"/>
    <w:rsid w:val="52DC25A5"/>
    <w:rsid w:val="532416D8"/>
    <w:rsid w:val="53316405"/>
    <w:rsid w:val="533409E5"/>
    <w:rsid w:val="53524FB3"/>
    <w:rsid w:val="535F1474"/>
    <w:rsid w:val="537E54E6"/>
    <w:rsid w:val="538E025A"/>
    <w:rsid w:val="53914FBE"/>
    <w:rsid w:val="539A3729"/>
    <w:rsid w:val="53B73179"/>
    <w:rsid w:val="541A1764"/>
    <w:rsid w:val="543F1303"/>
    <w:rsid w:val="545636B4"/>
    <w:rsid w:val="545D0B1D"/>
    <w:rsid w:val="54B35714"/>
    <w:rsid w:val="54DF63F7"/>
    <w:rsid w:val="54E92135"/>
    <w:rsid w:val="54F5099E"/>
    <w:rsid w:val="55023F28"/>
    <w:rsid w:val="552A1E7A"/>
    <w:rsid w:val="552A24D5"/>
    <w:rsid w:val="552F3D8D"/>
    <w:rsid w:val="55DC17DF"/>
    <w:rsid w:val="55E947F0"/>
    <w:rsid w:val="55EF4E10"/>
    <w:rsid w:val="56201F8E"/>
    <w:rsid w:val="56302153"/>
    <w:rsid w:val="56576F13"/>
    <w:rsid w:val="565E3CDF"/>
    <w:rsid w:val="569C6DA8"/>
    <w:rsid w:val="56FC1F2E"/>
    <w:rsid w:val="571429F5"/>
    <w:rsid w:val="57611F48"/>
    <w:rsid w:val="57CE2A7F"/>
    <w:rsid w:val="57EF0D2C"/>
    <w:rsid w:val="57F17D37"/>
    <w:rsid w:val="57FA2F36"/>
    <w:rsid w:val="57FF57C6"/>
    <w:rsid w:val="58045F66"/>
    <w:rsid w:val="580602A0"/>
    <w:rsid w:val="580B2448"/>
    <w:rsid w:val="58287E46"/>
    <w:rsid w:val="5847793A"/>
    <w:rsid w:val="58B06573"/>
    <w:rsid w:val="58B90241"/>
    <w:rsid w:val="58CE2247"/>
    <w:rsid w:val="58D740C7"/>
    <w:rsid w:val="59087E3F"/>
    <w:rsid w:val="59270899"/>
    <w:rsid w:val="59535A70"/>
    <w:rsid w:val="59785A69"/>
    <w:rsid w:val="59853B23"/>
    <w:rsid w:val="59CA59DA"/>
    <w:rsid w:val="59DD0F55"/>
    <w:rsid w:val="59DF9523"/>
    <w:rsid w:val="5A11456B"/>
    <w:rsid w:val="5A6C42ED"/>
    <w:rsid w:val="5A942155"/>
    <w:rsid w:val="5B2F40F5"/>
    <w:rsid w:val="5B5648CD"/>
    <w:rsid w:val="5B65297E"/>
    <w:rsid w:val="5B815298"/>
    <w:rsid w:val="5B8878FB"/>
    <w:rsid w:val="5B8B537D"/>
    <w:rsid w:val="5BBEB6D6"/>
    <w:rsid w:val="5BF74E71"/>
    <w:rsid w:val="5C154A4C"/>
    <w:rsid w:val="5C2C119F"/>
    <w:rsid w:val="5C3004AD"/>
    <w:rsid w:val="5C3612A5"/>
    <w:rsid w:val="5C436194"/>
    <w:rsid w:val="5C651C96"/>
    <w:rsid w:val="5C756DE9"/>
    <w:rsid w:val="5C7D7C89"/>
    <w:rsid w:val="5C9F7E4B"/>
    <w:rsid w:val="5CCF5C0F"/>
    <w:rsid w:val="5D0C2AE9"/>
    <w:rsid w:val="5D1F67D0"/>
    <w:rsid w:val="5D5C2B6F"/>
    <w:rsid w:val="5DD50351"/>
    <w:rsid w:val="5DDF26EB"/>
    <w:rsid w:val="5DEC6426"/>
    <w:rsid w:val="5E2926A9"/>
    <w:rsid w:val="5E2F22EF"/>
    <w:rsid w:val="5E4F32F3"/>
    <w:rsid w:val="5E604867"/>
    <w:rsid w:val="5E6B0F07"/>
    <w:rsid w:val="5E7916BF"/>
    <w:rsid w:val="5E847636"/>
    <w:rsid w:val="5E864058"/>
    <w:rsid w:val="5F3D0753"/>
    <w:rsid w:val="5F55415A"/>
    <w:rsid w:val="5F6A0625"/>
    <w:rsid w:val="5F820F01"/>
    <w:rsid w:val="5FA02D12"/>
    <w:rsid w:val="5FB40CBE"/>
    <w:rsid w:val="5FC204A6"/>
    <w:rsid w:val="5FF3627E"/>
    <w:rsid w:val="600F1B2D"/>
    <w:rsid w:val="602C7686"/>
    <w:rsid w:val="6077732E"/>
    <w:rsid w:val="608B36FD"/>
    <w:rsid w:val="60AB7B6F"/>
    <w:rsid w:val="60B65CE4"/>
    <w:rsid w:val="60BA1565"/>
    <w:rsid w:val="60E27AAD"/>
    <w:rsid w:val="61162EF8"/>
    <w:rsid w:val="61236D31"/>
    <w:rsid w:val="61287757"/>
    <w:rsid w:val="61396435"/>
    <w:rsid w:val="614722E6"/>
    <w:rsid w:val="616B7AA3"/>
    <w:rsid w:val="616C5E34"/>
    <w:rsid w:val="61A23A0D"/>
    <w:rsid w:val="61F52BB0"/>
    <w:rsid w:val="625E72B0"/>
    <w:rsid w:val="62913475"/>
    <w:rsid w:val="62BB2364"/>
    <w:rsid w:val="62C507B9"/>
    <w:rsid w:val="62CF3B78"/>
    <w:rsid w:val="62FF74B6"/>
    <w:rsid w:val="631230E5"/>
    <w:rsid w:val="63497EDA"/>
    <w:rsid w:val="634C1B3B"/>
    <w:rsid w:val="634E0471"/>
    <w:rsid w:val="63602AC5"/>
    <w:rsid w:val="63D57455"/>
    <w:rsid w:val="64324E2E"/>
    <w:rsid w:val="645E7346"/>
    <w:rsid w:val="64602886"/>
    <w:rsid w:val="646F1359"/>
    <w:rsid w:val="64A4216B"/>
    <w:rsid w:val="64B6329B"/>
    <w:rsid w:val="64D05805"/>
    <w:rsid w:val="64DF0CD7"/>
    <w:rsid w:val="64E65629"/>
    <w:rsid w:val="64F65DFF"/>
    <w:rsid w:val="65195CB7"/>
    <w:rsid w:val="653218AA"/>
    <w:rsid w:val="65983E10"/>
    <w:rsid w:val="65EC1EC4"/>
    <w:rsid w:val="65F72D4F"/>
    <w:rsid w:val="660836E5"/>
    <w:rsid w:val="662178FD"/>
    <w:rsid w:val="66564C93"/>
    <w:rsid w:val="66622DEA"/>
    <w:rsid w:val="668D2269"/>
    <w:rsid w:val="66F50ABD"/>
    <w:rsid w:val="66FACEF7"/>
    <w:rsid w:val="670B580E"/>
    <w:rsid w:val="671426D7"/>
    <w:rsid w:val="672C16BE"/>
    <w:rsid w:val="673B2526"/>
    <w:rsid w:val="67757E4A"/>
    <w:rsid w:val="67766224"/>
    <w:rsid w:val="677A43AB"/>
    <w:rsid w:val="6782214A"/>
    <w:rsid w:val="67981DD6"/>
    <w:rsid w:val="67BC6813"/>
    <w:rsid w:val="6829071E"/>
    <w:rsid w:val="683E1744"/>
    <w:rsid w:val="689B1E0F"/>
    <w:rsid w:val="689D53BC"/>
    <w:rsid w:val="68A17BF6"/>
    <w:rsid w:val="68C45663"/>
    <w:rsid w:val="68FA41D3"/>
    <w:rsid w:val="6928099A"/>
    <w:rsid w:val="69776E1F"/>
    <w:rsid w:val="6981352D"/>
    <w:rsid w:val="69C0184C"/>
    <w:rsid w:val="69CB2C34"/>
    <w:rsid w:val="69D720DA"/>
    <w:rsid w:val="69D91588"/>
    <w:rsid w:val="69FC46E0"/>
    <w:rsid w:val="6A4B4CF2"/>
    <w:rsid w:val="6A4C48C3"/>
    <w:rsid w:val="6A7570C5"/>
    <w:rsid w:val="6A7914F9"/>
    <w:rsid w:val="6B0863D8"/>
    <w:rsid w:val="6B55168C"/>
    <w:rsid w:val="6B606476"/>
    <w:rsid w:val="6B8302E7"/>
    <w:rsid w:val="6B8D2874"/>
    <w:rsid w:val="6BFB1165"/>
    <w:rsid w:val="6BFBDAB1"/>
    <w:rsid w:val="6C0D54D0"/>
    <w:rsid w:val="6C220704"/>
    <w:rsid w:val="6C2F48C0"/>
    <w:rsid w:val="6C66561D"/>
    <w:rsid w:val="6C774A8C"/>
    <w:rsid w:val="6C9A04B2"/>
    <w:rsid w:val="6CBE2D95"/>
    <w:rsid w:val="6CBF1DD1"/>
    <w:rsid w:val="6CC77739"/>
    <w:rsid w:val="6DAE3BDD"/>
    <w:rsid w:val="6DB01CF8"/>
    <w:rsid w:val="6DDB4B16"/>
    <w:rsid w:val="6DE12066"/>
    <w:rsid w:val="6DE760F9"/>
    <w:rsid w:val="6DF337EC"/>
    <w:rsid w:val="6DF85A85"/>
    <w:rsid w:val="6E7808BC"/>
    <w:rsid w:val="6E9122B0"/>
    <w:rsid w:val="6EB21D41"/>
    <w:rsid w:val="6EC777E6"/>
    <w:rsid w:val="6F1562D7"/>
    <w:rsid w:val="6F2065CE"/>
    <w:rsid w:val="6F4E491A"/>
    <w:rsid w:val="6F511C57"/>
    <w:rsid w:val="6F813B9A"/>
    <w:rsid w:val="6F9617A6"/>
    <w:rsid w:val="6FAF17A1"/>
    <w:rsid w:val="6FB21D46"/>
    <w:rsid w:val="6FB678ED"/>
    <w:rsid w:val="6FBD2595"/>
    <w:rsid w:val="6FC55195"/>
    <w:rsid w:val="6FDE50C4"/>
    <w:rsid w:val="6FE5105E"/>
    <w:rsid w:val="6FFBEBA9"/>
    <w:rsid w:val="70512C90"/>
    <w:rsid w:val="706E4D3A"/>
    <w:rsid w:val="70A139BA"/>
    <w:rsid w:val="70B566CF"/>
    <w:rsid w:val="70CD74E6"/>
    <w:rsid w:val="70EC5793"/>
    <w:rsid w:val="71160774"/>
    <w:rsid w:val="713F2C33"/>
    <w:rsid w:val="715155A6"/>
    <w:rsid w:val="71665B90"/>
    <w:rsid w:val="71714E40"/>
    <w:rsid w:val="7176017C"/>
    <w:rsid w:val="7178125F"/>
    <w:rsid w:val="717A56C5"/>
    <w:rsid w:val="71970556"/>
    <w:rsid w:val="71BB7C14"/>
    <w:rsid w:val="71D45453"/>
    <w:rsid w:val="71FC02A3"/>
    <w:rsid w:val="72014212"/>
    <w:rsid w:val="720773CA"/>
    <w:rsid w:val="724F4B19"/>
    <w:rsid w:val="725C6D83"/>
    <w:rsid w:val="72714EAC"/>
    <w:rsid w:val="7285312F"/>
    <w:rsid w:val="72B6654A"/>
    <w:rsid w:val="72C45265"/>
    <w:rsid w:val="72C60FDD"/>
    <w:rsid w:val="730457D5"/>
    <w:rsid w:val="731A6F6D"/>
    <w:rsid w:val="732C4F5F"/>
    <w:rsid w:val="733F4C68"/>
    <w:rsid w:val="73542B2C"/>
    <w:rsid w:val="7357495A"/>
    <w:rsid w:val="73627E16"/>
    <w:rsid w:val="737E2E58"/>
    <w:rsid w:val="737FC8A1"/>
    <w:rsid w:val="739630EB"/>
    <w:rsid w:val="73C366E6"/>
    <w:rsid w:val="73C53068"/>
    <w:rsid w:val="73CE5781"/>
    <w:rsid w:val="73E53B93"/>
    <w:rsid w:val="73ED06C1"/>
    <w:rsid w:val="73F60B19"/>
    <w:rsid w:val="74076AFC"/>
    <w:rsid w:val="74302008"/>
    <w:rsid w:val="743E285D"/>
    <w:rsid w:val="7484300A"/>
    <w:rsid w:val="74A33D36"/>
    <w:rsid w:val="74AF6C59"/>
    <w:rsid w:val="750D5BA7"/>
    <w:rsid w:val="751B61FD"/>
    <w:rsid w:val="7568468C"/>
    <w:rsid w:val="75705691"/>
    <w:rsid w:val="757D3577"/>
    <w:rsid w:val="758546DF"/>
    <w:rsid w:val="75BF1986"/>
    <w:rsid w:val="75DF5D63"/>
    <w:rsid w:val="75ED59A9"/>
    <w:rsid w:val="75FD7599"/>
    <w:rsid w:val="76190381"/>
    <w:rsid w:val="762A1882"/>
    <w:rsid w:val="764F397A"/>
    <w:rsid w:val="766E5513"/>
    <w:rsid w:val="768F1A46"/>
    <w:rsid w:val="76A25DFE"/>
    <w:rsid w:val="76A73323"/>
    <w:rsid w:val="76BE39B9"/>
    <w:rsid w:val="76EBB93C"/>
    <w:rsid w:val="76EE3429"/>
    <w:rsid w:val="76F80845"/>
    <w:rsid w:val="76FA0817"/>
    <w:rsid w:val="7741083B"/>
    <w:rsid w:val="7749008B"/>
    <w:rsid w:val="774E334F"/>
    <w:rsid w:val="776020FF"/>
    <w:rsid w:val="779D3434"/>
    <w:rsid w:val="77A56891"/>
    <w:rsid w:val="77C13CBD"/>
    <w:rsid w:val="77CF33CA"/>
    <w:rsid w:val="77D45009"/>
    <w:rsid w:val="77ED313B"/>
    <w:rsid w:val="78224440"/>
    <w:rsid w:val="78263345"/>
    <w:rsid w:val="78293E7A"/>
    <w:rsid w:val="782D4D65"/>
    <w:rsid w:val="783042AE"/>
    <w:rsid w:val="7855388D"/>
    <w:rsid w:val="786502E6"/>
    <w:rsid w:val="78752E5E"/>
    <w:rsid w:val="78AA6DC1"/>
    <w:rsid w:val="78C10BFC"/>
    <w:rsid w:val="78CD3E33"/>
    <w:rsid w:val="78E52C6D"/>
    <w:rsid w:val="78FE5A37"/>
    <w:rsid w:val="7918235B"/>
    <w:rsid w:val="793A7472"/>
    <w:rsid w:val="79567178"/>
    <w:rsid w:val="795B00BD"/>
    <w:rsid w:val="79654980"/>
    <w:rsid w:val="7983292B"/>
    <w:rsid w:val="79D76951"/>
    <w:rsid w:val="7A062955"/>
    <w:rsid w:val="7A510E7B"/>
    <w:rsid w:val="7A532ED2"/>
    <w:rsid w:val="7A54628F"/>
    <w:rsid w:val="7A616E9D"/>
    <w:rsid w:val="7A6915BC"/>
    <w:rsid w:val="7A7864CA"/>
    <w:rsid w:val="7A7F4C51"/>
    <w:rsid w:val="7A9524C1"/>
    <w:rsid w:val="7AA31446"/>
    <w:rsid w:val="7B1F60ED"/>
    <w:rsid w:val="7B3E04AD"/>
    <w:rsid w:val="7B424693"/>
    <w:rsid w:val="7B52641F"/>
    <w:rsid w:val="7B643141"/>
    <w:rsid w:val="7B7603F9"/>
    <w:rsid w:val="7BA56749"/>
    <w:rsid w:val="7BAF5152"/>
    <w:rsid w:val="7BB341D9"/>
    <w:rsid w:val="7BF9006B"/>
    <w:rsid w:val="7C044924"/>
    <w:rsid w:val="7C0B261C"/>
    <w:rsid w:val="7C1F3BE7"/>
    <w:rsid w:val="7C2428D0"/>
    <w:rsid w:val="7C256496"/>
    <w:rsid w:val="7C2C5E58"/>
    <w:rsid w:val="7C5F7DAC"/>
    <w:rsid w:val="7CA56A42"/>
    <w:rsid w:val="7CD33ECF"/>
    <w:rsid w:val="7CDA68CC"/>
    <w:rsid w:val="7D2315E1"/>
    <w:rsid w:val="7D453EEE"/>
    <w:rsid w:val="7D5F3549"/>
    <w:rsid w:val="7D6409D5"/>
    <w:rsid w:val="7D7F8AB3"/>
    <w:rsid w:val="7DB529E5"/>
    <w:rsid w:val="7DC00C3D"/>
    <w:rsid w:val="7DC14ACF"/>
    <w:rsid w:val="7DCD17C0"/>
    <w:rsid w:val="7DD17825"/>
    <w:rsid w:val="7E206668"/>
    <w:rsid w:val="7E290672"/>
    <w:rsid w:val="7E340884"/>
    <w:rsid w:val="7E3942B1"/>
    <w:rsid w:val="7E5C0D23"/>
    <w:rsid w:val="7E694F12"/>
    <w:rsid w:val="7E744558"/>
    <w:rsid w:val="7E8D31E3"/>
    <w:rsid w:val="7E9C79A1"/>
    <w:rsid w:val="7EC3049C"/>
    <w:rsid w:val="7F085A2A"/>
    <w:rsid w:val="7F182BC0"/>
    <w:rsid w:val="7F1FF55F"/>
    <w:rsid w:val="7F295C8B"/>
    <w:rsid w:val="7F297CA6"/>
    <w:rsid w:val="7F351680"/>
    <w:rsid w:val="7F4B246C"/>
    <w:rsid w:val="7F683C0C"/>
    <w:rsid w:val="7F742637"/>
    <w:rsid w:val="7F774AC3"/>
    <w:rsid w:val="7F871456"/>
    <w:rsid w:val="7F8A433A"/>
    <w:rsid w:val="7F94742A"/>
    <w:rsid w:val="7F9B559F"/>
    <w:rsid w:val="7FB9528D"/>
    <w:rsid w:val="7FBD15A4"/>
    <w:rsid w:val="7FCB0A0D"/>
    <w:rsid w:val="7FED7AAA"/>
    <w:rsid w:val="7FF2742E"/>
    <w:rsid w:val="7FF70B04"/>
    <w:rsid w:val="7FFB92D6"/>
    <w:rsid w:val="7FFBD980"/>
    <w:rsid w:val="7FFDD14E"/>
    <w:rsid w:val="8BDD55C4"/>
    <w:rsid w:val="97B5A6F6"/>
    <w:rsid w:val="9BF978C7"/>
    <w:rsid w:val="A1F7750E"/>
    <w:rsid w:val="A3BF86BB"/>
    <w:rsid w:val="ABF79970"/>
    <w:rsid w:val="AD3FE583"/>
    <w:rsid w:val="AFBF64DF"/>
    <w:rsid w:val="B37FA35D"/>
    <w:rsid w:val="B7DF3E4D"/>
    <w:rsid w:val="BBFC5C60"/>
    <w:rsid w:val="BDCE70EC"/>
    <w:rsid w:val="BEFD6323"/>
    <w:rsid w:val="BF0F8513"/>
    <w:rsid w:val="BF6E6369"/>
    <w:rsid w:val="BFBB50ED"/>
    <w:rsid w:val="BFEE959F"/>
    <w:rsid w:val="BFF7F2BB"/>
    <w:rsid w:val="D6FED286"/>
    <w:rsid w:val="D77FDF88"/>
    <w:rsid w:val="DB6FD8BC"/>
    <w:rsid w:val="DBDE42EC"/>
    <w:rsid w:val="DBF72E3D"/>
    <w:rsid w:val="DDBD767E"/>
    <w:rsid w:val="DEEF4A35"/>
    <w:rsid w:val="DF2FD441"/>
    <w:rsid w:val="DF5BDB24"/>
    <w:rsid w:val="DFBF1336"/>
    <w:rsid w:val="DFF626F9"/>
    <w:rsid w:val="E7D5F1E6"/>
    <w:rsid w:val="E8EC9DD0"/>
    <w:rsid w:val="EB8F6684"/>
    <w:rsid w:val="EBDD340D"/>
    <w:rsid w:val="EC6A8512"/>
    <w:rsid w:val="EDB895CD"/>
    <w:rsid w:val="EDBF7269"/>
    <w:rsid w:val="EFAF48BF"/>
    <w:rsid w:val="EFBFE3BF"/>
    <w:rsid w:val="EFE7D251"/>
    <w:rsid w:val="EFE9C280"/>
    <w:rsid w:val="EFEE69ED"/>
    <w:rsid w:val="EFFF977F"/>
    <w:rsid w:val="F1BE3AD2"/>
    <w:rsid w:val="F2F43EC7"/>
    <w:rsid w:val="F2FF244B"/>
    <w:rsid w:val="F71BB8A0"/>
    <w:rsid w:val="F7FD2DF7"/>
    <w:rsid w:val="F9AF6E49"/>
    <w:rsid w:val="F9FF5F6C"/>
    <w:rsid w:val="FA7A1BE4"/>
    <w:rsid w:val="FBF911A1"/>
    <w:rsid w:val="FCF7A71E"/>
    <w:rsid w:val="FCFF15D9"/>
    <w:rsid w:val="FD6BE114"/>
    <w:rsid w:val="FD7F5EA8"/>
    <w:rsid w:val="FDBD1455"/>
    <w:rsid w:val="FEB635F4"/>
    <w:rsid w:val="FF37AC4C"/>
    <w:rsid w:val="FF37F544"/>
    <w:rsid w:val="FF3D4BA9"/>
    <w:rsid w:val="FF431053"/>
    <w:rsid w:val="FF6B31C9"/>
    <w:rsid w:val="FF7F1E7D"/>
    <w:rsid w:val="FF7F2A5D"/>
    <w:rsid w:val="FFC9E528"/>
    <w:rsid w:val="FFD33B89"/>
    <w:rsid w:val="FFDB6FA9"/>
    <w:rsid w:val="FFEC29B7"/>
    <w:rsid w:val="FFEFC32A"/>
    <w:rsid w:val="FFFF3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jc w:val="both"/>
    </w:pPr>
    <w:rPr>
      <w:rFonts w:ascii="Calibri" w:hAnsi="Calibri" w:eastAsia="仿宋" w:cs="Times New Roman"/>
      <w:kern w:val="2"/>
      <w:sz w:val="28"/>
      <w:szCs w:val="22"/>
      <w:lang w:val="en-US" w:eastAsia="zh-CN" w:bidi="ar-SA"/>
    </w:rPr>
  </w:style>
  <w:style w:type="paragraph" w:styleId="2">
    <w:name w:val="heading 1"/>
    <w:next w:val="1"/>
    <w:qFormat/>
    <w:uiPriority w:val="9"/>
    <w:pPr>
      <w:keepNext/>
      <w:keepLines/>
      <w:widowControl w:val="0"/>
      <w:spacing w:before="120" w:after="120"/>
      <w:jc w:val="center"/>
      <w:outlineLvl w:val="0"/>
    </w:pPr>
    <w:rPr>
      <w:rFonts w:ascii="黑体" w:hAnsi="黑体" w:eastAsia="黑体" w:cs="Times New Roman"/>
      <w:b/>
      <w:bCs/>
      <w:sz w:val="28"/>
      <w:szCs w:val="44"/>
      <w:lang w:val="en-US" w:eastAsia="zh-CN" w:bidi="ar-SA"/>
    </w:rPr>
  </w:style>
  <w:style w:type="paragraph" w:styleId="3">
    <w:name w:val="heading 2"/>
    <w:basedOn w:val="1"/>
    <w:next w:val="1"/>
    <w:qFormat/>
    <w:uiPriority w:val="0"/>
    <w:pPr>
      <w:keepNext/>
      <w:keepLines/>
      <w:outlineLvl w:val="1"/>
    </w:pPr>
    <w:rPr>
      <w:rFonts w:ascii="Arial" w:hAnsi="Arial" w:eastAsia="黑体"/>
      <w:b/>
      <w:sz w:val="32"/>
    </w:rPr>
  </w:style>
  <w:style w:type="paragraph" w:styleId="4">
    <w:name w:val="heading 3"/>
    <w:basedOn w:val="1"/>
    <w:next w:val="1"/>
    <w:qFormat/>
    <w:uiPriority w:val="0"/>
    <w:pPr>
      <w:keepNext/>
      <w:keepLines/>
      <w:spacing w:before="260" w:after="260" w:line="413" w:lineRule="auto"/>
      <w:outlineLvl w:val="2"/>
    </w:pPr>
    <w:rPr>
      <w:b/>
      <w:sz w:val="32"/>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ind w:firstLine="420"/>
    </w:pPr>
  </w:style>
  <w:style w:type="paragraph" w:styleId="6">
    <w:name w:val="annotation text"/>
    <w:basedOn w:val="1"/>
    <w:link w:val="25"/>
    <w:qFormat/>
    <w:uiPriority w:val="0"/>
    <w:pPr>
      <w:jc w:val="left"/>
    </w:pPr>
  </w:style>
  <w:style w:type="paragraph" w:styleId="7">
    <w:name w:val="Plain Text"/>
    <w:unhideWhenUsed/>
    <w:qFormat/>
    <w:uiPriority w:val="99"/>
    <w:pPr>
      <w:widowControl w:val="0"/>
      <w:jc w:val="both"/>
    </w:pPr>
    <w:rPr>
      <w:rFonts w:ascii="宋体" w:hAnsi="Courier New" w:eastAsia="宋体" w:cs="Courier New"/>
      <w:kern w:val="2"/>
      <w:sz w:val="21"/>
      <w:szCs w:val="21"/>
      <w:lang w:val="en-US" w:eastAsia="zh-CN" w:bidi="ar-SA"/>
    </w:rPr>
  </w:style>
  <w:style w:type="paragraph" w:styleId="8">
    <w:name w:val="Date"/>
    <w:basedOn w:val="1"/>
    <w:next w:val="1"/>
    <w:link w:val="26"/>
    <w:qFormat/>
    <w:uiPriority w:val="0"/>
    <w:pPr>
      <w:ind w:left="100" w:leftChars="2500"/>
    </w:pPr>
  </w:style>
  <w:style w:type="paragraph" w:styleId="9">
    <w:name w:val="Body Text Indent 2"/>
    <w:basedOn w:val="1"/>
    <w:qFormat/>
    <w:uiPriority w:val="0"/>
    <w:pPr>
      <w:spacing w:after="120" w:line="480" w:lineRule="auto"/>
      <w:ind w:left="420" w:leftChars="200" w:firstLine="200"/>
    </w:pPr>
    <w:rPr>
      <w:rFonts w:ascii="Times New Roman" w:hAnsi="Times New Roman" w:eastAsia="宋体"/>
      <w:sz w:val="21"/>
      <w:szCs w:val="24"/>
    </w:rPr>
  </w:style>
  <w:style w:type="paragraph" w:styleId="10">
    <w:name w:val="Balloon Text"/>
    <w:basedOn w:val="1"/>
    <w:link w:val="27"/>
    <w:qFormat/>
    <w:uiPriority w:val="0"/>
    <w:rPr>
      <w:sz w:val="18"/>
      <w:szCs w:val="18"/>
    </w:rPr>
  </w:style>
  <w:style w:type="paragraph" w:styleId="11">
    <w:name w:val="footer"/>
    <w:link w:val="44"/>
    <w:unhideWhenUsed/>
    <w:qFormat/>
    <w:uiPriority w:val="99"/>
    <w:pPr>
      <w:widowControl w:val="0"/>
      <w:tabs>
        <w:tab w:val="center" w:pos="4153"/>
        <w:tab w:val="right" w:pos="8306"/>
      </w:tabs>
      <w:snapToGrid w:val="0"/>
    </w:pPr>
    <w:rPr>
      <w:rFonts w:ascii="Calibri" w:hAnsi="Calibri" w:eastAsia="宋体" w:cs="Times New Roman"/>
      <w:kern w:val="2"/>
      <w:sz w:val="18"/>
      <w:szCs w:val="18"/>
      <w:lang w:val="en-US" w:eastAsia="zh-CN" w:bidi="ar-SA"/>
    </w:rPr>
  </w:style>
  <w:style w:type="paragraph" w:styleId="12">
    <w:name w:val="header"/>
    <w:unhideWhenUsed/>
    <w:qFormat/>
    <w:uiPriority w:val="99"/>
    <w:pPr>
      <w:widowControl w:val="0"/>
      <w:pBdr>
        <w:bottom w:val="single" w:color="auto" w:sz="6" w:space="1"/>
      </w:pBdr>
      <w:tabs>
        <w:tab w:val="center" w:pos="4153"/>
        <w:tab w:val="right" w:pos="8306"/>
      </w:tabs>
      <w:snapToGrid w:val="0"/>
      <w:jc w:val="center"/>
    </w:pPr>
    <w:rPr>
      <w:rFonts w:ascii="Calibri" w:hAnsi="Calibri" w:eastAsia="宋体" w:cs="Times New Roman"/>
      <w:kern w:val="2"/>
      <w:sz w:val="18"/>
      <w:szCs w:val="18"/>
      <w:lang w:val="en-US" w:eastAsia="zh-CN" w:bidi="ar-SA"/>
    </w:rPr>
  </w:style>
  <w:style w:type="paragraph" w:styleId="13">
    <w:name w:val="toc 1"/>
    <w:basedOn w:val="1"/>
    <w:next w:val="1"/>
    <w:qFormat/>
    <w:uiPriority w:val="39"/>
  </w:style>
  <w:style w:type="paragraph" w:styleId="14">
    <w:name w:val="toc 2"/>
    <w:basedOn w:val="1"/>
    <w:next w:val="1"/>
    <w:qFormat/>
    <w:uiPriority w:val="0"/>
    <w:pPr>
      <w:ind w:left="420" w:leftChars="200"/>
    </w:pPr>
  </w:style>
  <w:style w:type="paragraph" w:styleId="15">
    <w:name w:val="Normal (Web)"/>
    <w:basedOn w:val="1"/>
    <w:unhideWhenUsed/>
    <w:qFormat/>
    <w:uiPriority w:val="0"/>
    <w:pPr>
      <w:spacing w:before="0" w:beforeAutospacing="1" w:after="0" w:afterAutospacing="1"/>
      <w:ind w:left="0" w:right="0"/>
      <w:jc w:val="left"/>
    </w:pPr>
    <w:rPr>
      <w:kern w:val="0"/>
      <w:sz w:val="24"/>
      <w:lang w:val="en-US" w:eastAsia="zh-CN" w:bidi="ar"/>
    </w:rPr>
  </w:style>
  <w:style w:type="paragraph" w:styleId="16">
    <w:name w:val="annotation subject"/>
    <w:basedOn w:val="6"/>
    <w:next w:val="6"/>
    <w:link w:val="28"/>
    <w:qFormat/>
    <w:uiPriority w:val="0"/>
    <w:rPr>
      <w:b/>
      <w:bCs/>
    </w:rPr>
  </w:style>
  <w:style w:type="table" w:styleId="18">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FollowedHyperlink"/>
    <w:basedOn w:val="19"/>
    <w:unhideWhenUsed/>
    <w:qFormat/>
    <w:uiPriority w:val="0"/>
    <w:rPr>
      <w:color w:val="800080"/>
      <w:u w:val="single"/>
    </w:rPr>
  </w:style>
  <w:style w:type="character" w:styleId="22">
    <w:name w:val="Hyperlink"/>
    <w:basedOn w:val="19"/>
    <w:unhideWhenUsed/>
    <w:qFormat/>
    <w:uiPriority w:val="99"/>
    <w:rPr>
      <w:color w:val="0563C1" w:themeColor="hyperlink"/>
      <w:u w:val="single"/>
      <w14:textFill>
        <w14:solidFill>
          <w14:schemeClr w14:val="hlink"/>
        </w14:solidFill>
      </w14:textFill>
    </w:rPr>
  </w:style>
  <w:style w:type="character" w:styleId="23">
    <w:name w:val="annotation reference"/>
    <w:qFormat/>
    <w:uiPriority w:val="0"/>
    <w:rPr>
      <w:sz w:val="21"/>
      <w:szCs w:val="21"/>
    </w:rPr>
  </w:style>
  <w:style w:type="paragraph" w:customStyle="1" w:styleId="2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5">
    <w:name w:val="批注文字 Char"/>
    <w:link w:val="6"/>
    <w:qFormat/>
    <w:uiPriority w:val="0"/>
    <w:rPr>
      <w:rFonts w:ascii="Calibri" w:hAnsi="Calibri" w:eastAsia="仿宋"/>
      <w:kern w:val="2"/>
      <w:sz w:val="28"/>
      <w:szCs w:val="22"/>
    </w:rPr>
  </w:style>
  <w:style w:type="character" w:customStyle="1" w:styleId="26">
    <w:name w:val="日期 Char"/>
    <w:link w:val="8"/>
    <w:qFormat/>
    <w:uiPriority w:val="0"/>
    <w:rPr>
      <w:rFonts w:ascii="Calibri" w:hAnsi="Calibri" w:eastAsia="仿宋"/>
      <w:kern w:val="2"/>
      <w:sz w:val="28"/>
      <w:szCs w:val="22"/>
    </w:rPr>
  </w:style>
  <w:style w:type="character" w:customStyle="1" w:styleId="27">
    <w:name w:val="批注框文本 Char"/>
    <w:link w:val="10"/>
    <w:qFormat/>
    <w:uiPriority w:val="0"/>
    <w:rPr>
      <w:rFonts w:ascii="Calibri" w:hAnsi="Calibri" w:eastAsia="仿宋"/>
      <w:kern w:val="2"/>
      <w:sz w:val="18"/>
      <w:szCs w:val="18"/>
    </w:rPr>
  </w:style>
  <w:style w:type="character" w:customStyle="1" w:styleId="28">
    <w:name w:val="批注主题 Char"/>
    <w:link w:val="16"/>
    <w:qFormat/>
    <w:uiPriority w:val="0"/>
    <w:rPr>
      <w:rFonts w:ascii="Calibri" w:hAnsi="Calibri" w:eastAsia="仿宋"/>
      <w:b/>
      <w:bCs/>
      <w:kern w:val="2"/>
      <w:sz w:val="28"/>
      <w:szCs w:val="22"/>
    </w:rPr>
  </w:style>
  <w:style w:type="character" w:customStyle="1" w:styleId="29">
    <w:name w:val="font61"/>
    <w:qFormat/>
    <w:uiPriority w:val="0"/>
    <w:rPr>
      <w:rFonts w:hint="eastAsia" w:ascii="宋体" w:hAnsi="宋体" w:eastAsia="宋体" w:cs="宋体"/>
      <w:color w:val="000000"/>
      <w:sz w:val="22"/>
      <w:szCs w:val="22"/>
      <w:u w:val="none"/>
    </w:rPr>
  </w:style>
  <w:style w:type="character" w:customStyle="1" w:styleId="30">
    <w:name w:val="font31"/>
    <w:qFormat/>
    <w:uiPriority w:val="0"/>
    <w:rPr>
      <w:rFonts w:hint="eastAsia" w:ascii="Microsoft JhengHei" w:hAnsi="Microsoft JhengHei" w:eastAsia="Microsoft JhengHei" w:cs="Microsoft JhengHei"/>
      <w:color w:val="000000"/>
      <w:sz w:val="22"/>
      <w:szCs w:val="22"/>
      <w:u w:val="none"/>
    </w:rPr>
  </w:style>
  <w:style w:type="character" w:customStyle="1" w:styleId="31">
    <w:name w:val="font01"/>
    <w:qFormat/>
    <w:uiPriority w:val="0"/>
    <w:rPr>
      <w:rFonts w:hint="eastAsia" w:ascii="宋体" w:hAnsi="宋体" w:eastAsia="宋体" w:cs="宋体"/>
      <w:color w:val="000000"/>
      <w:sz w:val="22"/>
      <w:szCs w:val="22"/>
      <w:u w:val="none"/>
    </w:rPr>
  </w:style>
  <w:style w:type="character" w:customStyle="1" w:styleId="32">
    <w:name w:val="font81"/>
    <w:qFormat/>
    <w:uiPriority w:val="0"/>
    <w:rPr>
      <w:rFonts w:hint="default" w:ascii="Calibri" w:hAnsi="Calibri" w:cs="Calibri"/>
      <w:color w:val="000000"/>
      <w:sz w:val="22"/>
      <w:szCs w:val="22"/>
      <w:u w:val="none"/>
    </w:rPr>
  </w:style>
  <w:style w:type="paragraph" w:customStyle="1" w:styleId="33">
    <w:name w:val="正文水资源论证1"/>
    <w:qFormat/>
    <w:uiPriority w:val="0"/>
    <w:pPr>
      <w:widowControl w:val="0"/>
      <w:spacing w:line="520" w:lineRule="exact"/>
      <w:ind w:firstLine="560"/>
      <w:jc w:val="both"/>
    </w:pPr>
    <w:rPr>
      <w:rFonts w:ascii="宋体" w:hAnsi="宋体" w:eastAsia="宋体" w:cs="Times New Roman"/>
      <w:kern w:val="2"/>
      <w:sz w:val="28"/>
      <w:szCs w:val="24"/>
      <w:lang w:val="en-US" w:eastAsia="zh-CN" w:bidi="ar-SA"/>
    </w:rPr>
  </w:style>
  <w:style w:type="paragraph" w:customStyle="1" w:styleId="34">
    <w:name w:val="表格文字"/>
    <w:basedOn w:val="1"/>
    <w:qFormat/>
    <w:uiPriority w:val="0"/>
    <w:pPr>
      <w:spacing w:before="25" w:after="25"/>
      <w:jc w:val="left"/>
    </w:pPr>
    <w:rPr>
      <w:bCs/>
      <w:spacing w:val="10"/>
      <w:kern w:val="0"/>
      <w:sz w:val="24"/>
      <w:szCs w:val="20"/>
    </w:rPr>
  </w:style>
  <w:style w:type="paragraph" w:customStyle="1" w:styleId="35">
    <w:name w:val="修订1"/>
    <w:unhideWhenUsed/>
    <w:qFormat/>
    <w:uiPriority w:val="99"/>
    <w:rPr>
      <w:rFonts w:ascii="Calibri" w:hAnsi="Calibri" w:eastAsia="仿宋" w:cs="Times New Roman"/>
      <w:kern w:val="2"/>
      <w:sz w:val="28"/>
      <w:szCs w:val="22"/>
      <w:lang w:val="en-US" w:eastAsia="zh-CN" w:bidi="ar-SA"/>
    </w:rPr>
  </w:style>
  <w:style w:type="table" w:customStyle="1" w:styleId="36">
    <w:name w:val="网格型1"/>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38">
    <w:name w:val="标准文件_章标题"/>
    <w:next w:val="39"/>
    <w:qFormat/>
    <w:uiPriority w:val="0"/>
    <w:pPr>
      <w:spacing w:before="100" w:beforeLines="100" w:after="100" w:afterLines="100"/>
      <w:ind w:left="1277"/>
      <w:jc w:val="both"/>
      <w:outlineLvl w:val="0"/>
    </w:pPr>
    <w:rPr>
      <w:rFonts w:ascii="黑体" w:hAnsi="Times New Roman" w:eastAsia="黑体" w:cs="Times New Roman"/>
      <w:sz w:val="21"/>
      <w:lang w:val="en-US" w:eastAsia="zh-CN" w:bidi="ar-SA"/>
    </w:rPr>
  </w:style>
  <w:style w:type="paragraph" w:customStyle="1" w:styleId="39">
    <w:name w:val="标准文件_段"/>
    <w:link w:val="4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0">
    <w:name w:val="标准文件_段 Char"/>
    <w:link w:val="39"/>
    <w:qFormat/>
    <w:uiPriority w:val="0"/>
    <w:rPr>
      <w:rFonts w:ascii="宋体"/>
      <w:sz w:val="21"/>
    </w:rPr>
  </w:style>
  <w:style w:type="paragraph" w:customStyle="1" w:styleId="41">
    <w:name w:val="标准文件_一级条标题"/>
    <w:basedOn w:val="38"/>
    <w:next w:val="39"/>
    <w:qFormat/>
    <w:uiPriority w:val="0"/>
    <w:pPr>
      <w:spacing w:before="50" w:beforeLines="50" w:after="50" w:afterLines="50"/>
      <w:ind w:left="0"/>
      <w:jc w:val="left"/>
      <w:outlineLvl w:val="1"/>
    </w:pPr>
    <w:rPr>
      <w:rFonts w:hAnsi="黑体"/>
    </w:rPr>
  </w:style>
  <w:style w:type="paragraph" w:customStyle="1" w:styleId="42">
    <w:name w:val="标准文件_字母编号列项（一级）"/>
    <w:qFormat/>
    <w:uiPriority w:val="0"/>
    <w:pPr>
      <w:jc w:val="both"/>
    </w:pPr>
    <w:rPr>
      <w:rFonts w:ascii="宋体" w:hAnsi="Times New Roman" w:eastAsia="宋体" w:cs="Times New Roman"/>
      <w:sz w:val="21"/>
      <w:lang w:val="en-US" w:eastAsia="zh-CN" w:bidi="ar-SA"/>
    </w:rPr>
  </w:style>
  <w:style w:type="paragraph" w:customStyle="1" w:styleId="43">
    <w:name w:val="标准文件_二级条标题"/>
    <w:next w:val="39"/>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44">
    <w:name w:val="页脚 Char"/>
    <w:basedOn w:val="19"/>
    <w:link w:val="11"/>
    <w:qFormat/>
    <w:uiPriority w:val="99"/>
    <w:rPr>
      <w:rFonts w:ascii="Calibri" w:hAnsi="Calibri"/>
      <w:kern w:val="2"/>
      <w:sz w:val="18"/>
      <w:szCs w:val="18"/>
    </w:rPr>
  </w:style>
  <w:style w:type="paragraph" w:customStyle="1" w:styleId="45">
    <w:name w:val="标准文件_前言、引言标题"/>
    <w:next w:val="1"/>
    <w:qFormat/>
    <w:uiPriority w:val="0"/>
    <w:p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46">
    <w:name w:val="修订2"/>
    <w:hidden/>
    <w:semiHidden/>
    <w:qFormat/>
    <w:uiPriority w:val="99"/>
    <w:rPr>
      <w:rFonts w:ascii="Calibri" w:hAnsi="Calibri" w:eastAsia="仿宋" w:cs="Times New Roman"/>
      <w:kern w:val="2"/>
      <w:sz w:val="28"/>
      <w:szCs w:val="22"/>
      <w:lang w:val="en-US" w:eastAsia="zh-CN" w:bidi="ar-SA"/>
    </w:rPr>
  </w:style>
  <w:style w:type="character" w:customStyle="1" w:styleId="47">
    <w:name w:val="showhidemsg1"/>
    <w:basedOn w:val="19"/>
    <w:qFormat/>
    <w:uiPriority w:val="0"/>
  </w:style>
  <w:style w:type="paragraph" w:customStyle="1" w:styleId="4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49">
    <w:name w:val="标准文件_文件编号"/>
    <w:basedOn w:val="3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50">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A9576-4973-42EF-9A51-3DD58E9D352B}">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20</Pages>
  <Words>10082</Words>
  <Characters>11176</Characters>
  <Lines>168</Lines>
  <Paragraphs>47</Paragraphs>
  <TotalTime>0</TotalTime>
  <ScaleCrop>false</ScaleCrop>
  <LinksUpToDate>false</LinksUpToDate>
  <CharactersWithSpaces>11393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2022-12-11T18:08:00Z</dcterms:created>
  <dc:creator>shen</dc:creator>
  <cp:lastModifiedBy>啊哈哈哈</cp:lastModifiedBy>
  <cp:lastPrinted>2023-02-08T23:44:00Z</cp:lastPrinted>
  <dcterms:modified xsi:type="dcterms:W3CDTF">2025-08-11T03:26:23Z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2B9B97296FBC41778AFC1668DB4D4548_13</vt:lpwstr>
  </property>
  <property fmtid="{D5CDD505-2E9C-101B-9397-08002B2CF9AE}" pid="4" name="commondata">
    <vt:lpwstr>eyJoZGlkIjoiOGFkM2VmYTQwY2JhNmU3NDg5NjE4MWU3YzY5ZjgzZGEifQ==</vt:lpwstr>
  </property>
  <property fmtid="{D5CDD505-2E9C-101B-9397-08002B2CF9AE}" pid="5" name="KSOTemplateDocerSaveRecord">
    <vt:lpwstr>eyJoZGlkIjoiN2YwYzkxYTU5NTBhYzc5ZThkODA5YWFmNWM5N2JiNjUiLCJ1c2VySWQiOiIzMDkwNzM4MTYifQ==</vt:lpwstr>
  </property>
</Properties>
</file>